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C478" w14:textId="7E18924B" w:rsidR="00E91717" w:rsidRDefault="00FC31E7" w:rsidP="00F37970">
      <w:pPr>
        <w:pStyle w:val="Titre2"/>
        <w:jc w:val="center"/>
      </w:pPr>
      <w:r>
        <w:t xml:space="preserve">Auto-évaluation des éléments de base d’un </w:t>
      </w:r>
      <w:r w:rsidR="00F46374">
        <w:t xml:space="preserve">programme de </w:t>
      </w:r>
      <w:r w:rsidR="00F46374" w:rsidRPr="00F37970">
        <w:rPr>
          <w:b/>
        </w:rPr>
        <w:t xml:space="preserve">prévention </w:t>
      </w:r>
      <w:r w:rsidR="00F37970" w:rsidRPr="00F37970">
        <w:rPr>
          <w:b/>
        </w:rPr>
        <w:t>d</w:t>
      </w:r>
      <w:bookmarkStart w:id="0" w:name="_GoBack"/>
      <w:bookmarkEnd w:id="0"/>
      <w:r w:rsidR="00F37970" w:rsidRPr="00F37970">
        <w:rPr>
          <w:b/>
        </w:rPr>
        <w:t>e la violence</w:t>
      </w:r>
    </w:p>
    <w:p w14:paraId="3E6351F8" w14:textId="77777777" w:rsidR="00F37970" w:rsidRPr="00F37970" w:rsidRDefault="00F37970" w:rsidP="00F37970"/>
    <w:tbl>
      <w:tblPr>
        <w:tblStyle w:val="Grilledutableau"/>
        <w:tblW w:w="4669" w:type="pct"/>
        <w:tblLook w:val="04A0" w:firstRow="1" w:lastRow="0" w:firstColumn="1" w:lastColumn="0" w:noHBand="0" w:noVBand="1"/>
      </w:tblPr>
      <w:tblGrid>
        <w:gridCol w:w="10466"/>
        <w:gridCol w:w="632"/>
        <w:gridCol w:w="706"/>
        <w:gridCol w:w="681"/>
        <w:gridCol w:w="1826"/>
        <w:gridCol w:w="1816"/>
      </w:tblGrid>
      <w:tr w:rsidR="00F37970" w14:paraId="066D7AB1" w14:textId="48871D0A" w:rsidTr="00F37970">
        <w:trPr>
          <w:tblHeader/>
        </w:trPr>
        <w:tc>
          <w:tcPr>
            <w:tcW w:w="3245" w:type="pct"/>
            <w:shd w:val="clear" w:color="auto" w:fill="DEEAF6" w:themeFill="accent1" w:themeFillTint="33"/>
          </w:tcPr>
          <w:p w14:paraId="600FA367" w14:textId="77777777" w:rsidR="00F37970" w:rsidRPr="00A718FD" w:rsidRDefault="00F37970" w:rsidP="008F0297">
            <w:pPr>
              <w:spacing w:before="20" w:after="20"/>
              <w:ind w:right="70"/>
              <w:rPr>
                <w:b/>
              </w:rPr>
            </w:pPr>
            <w:r w:rsidRPr="00A718FD">
              <w:rPr>
                <w:b/>
              </w:rPr>
              <w:t>Exigences</w:t>
            </w:r>
          </w:p>
        </w:tc>
        <w:tc>
          <w:tcPr>
            <w:tcW w:w="196" w:type="pct"/>
            <w:shd w:val="clear" w:color="auto" w:fill="DEEAF6" w:themeFill="accent1" w:themeFillTint="33"/>
          </w:tcPr>
          <w:p w14:paraId="52FC9550" w14:textId="77777777" w:rsidR="00F37970" w:rsidRDefault="00F37970" w:rsidP="008F0297">
            <w:pPr>
              <w:spacing w:before="20" w:after="20"/>
            </w:pPr>
            <w:r>
              <w:t>Oui</w:t>
            </w:r>
          </w:p>
        </w:tc>
        <w:tc>
          <w:tcPr>
            <w:tcW w:w="219" w:type="pct"/>
            <w:shd w:val="clear" w:color="auto" w:fill="DEEAF6" w:themeFill="accent1" w:themeFillTint="33"/>
          </w:tcPr>
          <w:p w14:paraId="3EF8F14F" w14:textId="77777777" w:rsidR="00F37970" w:rsidRDefault="00F37970" w:rsidP="008F0297">
            <w:pPr>
              <w:spacing w:before="20" w:after="20"/>
            </w:pPr>
            <w:r>
              <w:t>Non</w:t>
            </w:r>
          </w:p>
        </w:tc>
        <w:tc>
          <w:tcPr>
            <w:tcW w:w="211" w:type="pct"/>
            <w:shd w:val="clear" w:color="auto" w:fill="DEEAF6" w:themeFill="accent1" w:themeFillTint="33"/>
          </w:tcPr>
          <w:p w14:paraId="6F4E35F8" w14:textId="77777777" w:rsidR="00F37970" w:rsidRDefault="00F37970" w:rsidP="008F0297">
            <w:pPr>
              <w:spacing w:before="20" w:after="20"/>
            </w:pPr>
            <w:r>
              <w:t>N/A</w:t>
            </w:r>
          </w:p>
        </w:tc>
        <w:tc>
          <w:tcPr>
            <w:tcW w:w="566" w:type="pct"/>
            <w:shd w:val="clear" w:color="auto" w:fill="DEEAF6" w:themeFill="accent1" w:themeFillTint="33"/>
          </w:tcPr>
          <w:p w14:paraId="267955DE" w14:textId="77777777" w:rsidR="00F37970" w:rsidRDefault="00F37970" w:rsidP="008F0297">
            <w:pPr>
              <w:spacing w:before="20" w:after="20"/>
            </w:pPr>
            <w:r>
              <w:t>Commentaires</w:t>
            </w:r>
          </w:p>
        </w:tc>
        <w:tc>
          <w:tcPr>
            <w:tcW w:w="563" w:type="pct"/>
            <w:shd w:val="clear" w:color="auto" w:fill="DEEAF6" w:themeFill="accent1" w:themeFillTint="33"/>
          </w:tcPr>
          <w:p w14:paraId="0271DB5C" w14:textId="2B4471C3" w:rsidR="00F37970" w:rsidRDefault="00F37970" w:rsidP="008F0297">
            <w:pPr>
              <w:spacing w:before="20" w:after="20"/>
            </w:pPr>
            <w:r>
              <w:t>Personne responsable</w:t>
            </w:r>
          </w:p>
        </w:tc>
      </w:tr>
      <w:tr w:rsidR="00F37970" w:rsidRPr="00C52026" w14:paraId="31FEBD28" w14:textId="59FBD4E5" w:rsidTr="00F37970">
        <w:tc>
          <w:tcPr>
            <w:tcW w:w="3245" w:type="pct"/>
          </w:tcPr>
          <w:p w14:paraId="0A0728C7" w14:textId="2CD4A759" w:rsidR="00F37970" w:rsidRPr="008F0297" w:rsidRDefault="00F37970" w:rsidP="00801A4A">
            <w:pPr>
              <w:spacing w:before="60" w:after="60"/>
              <w:ind w:right="70"/>
              <w:rPr>
                <w:i/>
              </w:rPr>
            </w:pPr>
            <w:r w:rsidRPr="00A718FD">
              <w:rPr>
                <w:rFonts w:cs="Arial"/>
              </w:rPr>
              <w:t>L</w:t>
            </w:r>
            <w:r w:rsidRPr="008F0297">
              <w:rPr>
                <w:rFonts w:cs="Arial"/>
              </w:rPr>
              <w:t xml:space="preserve">es </w:t>
            </w:r>
            <w:r w:rsidRPr="00A718FD">
              <w:rPr>
                <w:rFonts w:cs="Arial"/>
              </w:rPr>
              <w:t xml:space="preserve">différentes </w:t>
            </w:r>
            <w:r w:rsidRPr="008F0297">
              <w:rPr>
                <w:rFonts w:cs="Arial"/>
              </w:rPr>
              <w:t>formes de violence susceptibles de surveni</w:t>
            </w:r>
            <w:r w:rsidRPr="00A718FD">
              <w:rPr>
                <w:rFonts w:cs="Arial"/>
              </w:rPr>
              <w:t>r sont documentées</w:t>
            </w:r>
            <w:r>
              <w:rPr>
                <w:rFonts w:cs="Arial"/>
              </w:rPr>
              <w:t xml:space="preserve"> ainsi que les services et postes à risque</w:t>
            </w:r>
          </w:p>
        </w:tc>
        <w:tc>
          <w:tcPr>
            <w:tcW w:w="196" w:type="pct"/>
          </w:tcPr>
          <w:p w14:paraId="4FB416C2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219" w:type="pct"/>
          </w:tcPr>
          <w:p w14:paraId="4ADA00B8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211" w:type="pct"/>
          </w:tcPr>
          <w:p w14:paraId="285A706E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566" w:type="pct"/>
          </w:tcPr>
          <w:p w14:paraId="309800C8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563" w:type="pct"/>
          </w:tcPr>
          <w:p w14:paraId="2D234609" w14:textId="77777777" w:rsidR="00F37970" w:rsidRPr="00C52026" w:rsidRDefault="00F37970" w:rsidP="00801A4A">
            <w:pPr>
              <w:spacing w:before="60" w:after="60"/>
            </w:pPr>
          </w:p>
        </w:tc>
      </w:tr>
      <w:tr w:rsidR="00F37970" w:rsidRPr="00C52026" w14:paraId="52C6F782" w14:textId="3D428FE0" w:rsidTr="00F37970">
        <w:tc>
          <w:tcPr>
            <w:tcW w:w="3245" w:type="pct"/>
          </w:tcPr>
          <w:p w14:paraId="0C50D915" w14:textId="77777777" w:rsidR="00F37970" w:rsidRPr="008F0297" w:rsidRDefault="00F37970" w:rsidP="00801A4A">
            <w:pPr>
              <w:spacing w:before="20" w:after="20"/>
              <w:ind w:right="70"/>
              <w:rPr>
                <w:rFonts w:cs="Arial"/>
              </w:rPr>
            </w:pPr>
            <w:r w:rsidRPr="00A718FD">
              <w:rPr>
                <w:rFonts w:cs="Arial"/>
                <w:bCs/>
              </w:rPr>
              <w:t>Une p</w:t>
            </w:r>
            <w:r w:rsidRPr="008F0297">
              <w:t>olitique</w:t>
            </w:r>
            <w:r w:rsidRPr="00A718FD">
              <w:rPr>
                <w:rFonts w:cs="Arial"/>
                <w:bCs/>
              </w:rPr>
              <w:t xml:space="preserve"> spécifique au problème est documentée et elle </w:t>
            </w:r>
            <w:r w:rsidRPr="00A718FD">
              <w:rPr>
                <w:rFonts w:cs="Arial"/>
              </w:rPr>
              <w:t>comprend</w:t>
            </w:r>
            <w:r w:rsidRPr="008F0297">
              <w:rPr>
                <w:rFonts w:cs="Arial"/>
              </w:rPr>
              <w:t> :</w:t>
            </w:r>
          </w:p>
          <w:p w14:paraId="14A4C290" w14:textId="77777777" w:rsidR="00F37970" w:rsidRPr="008F0297" w:rsidRDefault="00F37970" w:rsidP="00A920CA">
            <w:pPr>
              <w:numPr>
                <w:ilvl w:val="0"/>
                <w:numId w:val="8"/>
              </w:numPr>
              <w:spacing w:before="20" w:after="20"/>
              <w:ind w:left="709" w:right="70" w:hanging="357"/>
              <w:rPr>
                <w:rFonts w:cs="Arial"/>
              </w:rPr>
            </w:pPr>
            <w:proofErr w:type="gramStart"/>
            <w:r w:rsidRPr="008F0297">
              <w:rPr>
                <w:rFonts w:cs="Arial"/>
              </w:rPr>
              <w:t>une</w:t>
            </w:r>
            <w:proofErr w:type="gramEnd"/>
            <w:r w:rsidRPr="008F0297">
              <w:rPr>
                <w:rFonts w:cs="Arial"/>
              </w:rPr>
              <w:t xml:space="preserve"> affirmation de la non-tol</w:t>
            </w:r>
            <w:r w:rsidRPr="00A718FD">
              <w:rPr>
                <w:rFonts w:cs="Arial"/>
              </w:rPr>
              <w:t>érance des phénomènes violents</w:t>
            </w:r>
          </w:p>
          <w:p w14:paraId="0FC8D02E" w14:textId="77777777" w:rsidR="00F37970" w:rsidRPr="008F0297" w:rsidRDefault="00F37970" w:rsidP="00A920CA">
            <w:pPr>
              <w:numPr>
                <w:ilvl w:val="0"/>
                <w:numId w:val="8"/>
              </w:numPr>
              <w:spacing w:before="20" w:after="20"/>
              <w:ind w:left="709" w:right="70" w:hanging="357"/>
              <w:rPr>
                <w:rFonts w:cs="Arial"/>
              </w:rPr>
            </w:pPr>
            <w:proofErr w:type="gramStart"/>
            <w:r w:rsidRPr="008F0297">
              <w:rPr>
                <w:rFonts w:cs="Arial"/>
              </w:rPr>
              <w:t>la</w:t>
            </w:r>
            <w:proofErr w:type="gramEnd"/>
            <w:r w:rsidRPr="008F0297">
              <w:rPr>
                <w:rFonts w:cs="Arial"/>
              </w:rPr>
              <w:t xml:space="preserve"> description des comportements attendus et les p</w:t>
            </w:r>
            <w:r w:rsidRPr="00A718FD">
              <w:rPr>
                <w:rFonts w:cs="Arial"/>
              </w:rPr>
              <w:t>ersonnes que vise la politique</w:t>
            </w:r>
          </w:p>
          <w:p w14:paraId="25E71B3A" w14:textId="77777777" w:rsidR="00F37970" w:rsidRPr="008F0297" w:rsidRDefault="00F37970" w:rsidP="00A920CA">
            <w:pPr>
              <w:numPr>
                <w:ilvl w:val="0"/>
                <w:numId w:val="8"/>
              </w:numPr>
              <w:spacing w:before="20" w:after="20"/>
              <w:ind w:left="709" w:right="70" w:hanging="357"/>
              <w:rPr>
                <w:rFonts w:cs="Arial"/>
              </w:rPr>
            </w:pPr>
            <w:proofErr w:type="gramStart"/>
            <w:r w:rsidRPr="008F0297">
              <w:rPr>
                <w:rFonts w:cs="Arial"/>
              </w:rPr>
              <w:t>le</w:t>
            </w:r>
            <w:r w:rsidRPr="00A718FD">
              <w:rPr>
                <w:rFonts w:cs="Arial"/>
              </w:rPr>
              <w:t>s</w:t>
            </w:r>
            <w:proofErr w:type="gramEnd"/>
            <w:r w:rsidRPr="00A718FD">
              <w:rPr>
                <w:rFonts w:cs="Arial"/>
              </w:rPr>
              <w:t xml:space="preserve"> formes de violence couvertes</w:t>
            </w:r>
          </w:p>
          <w:p w14:paraId="4ABDA106" w14:textId="77777777" w:rsidR="00F37970" w:rsidRDefault="00F37970" w:rsidP="00A920CA">
            <w:pPr>
              <w:numPr>
                <w:ilvl w:val="0"/>
                <w:numId w:val="8"/>
              </w:numPr>
              <w:spacing w:before="20" w:after="20"/>
              <w:ind w:left="709" w:right="70" w:hanging="357"/>
              <w:rPr>
                <w:rFonts w:cs="Arial"/>
              </w:rPr>
            </w:pPr>
            <w:proofErr w:type="gramStart"/>
            <w:r w:rsidRPr="008F0297">
              <w:rPr>
                <w:rFonts w:cs="Arial"/>
              </w:rPr>
              <w:t>un</w:t>
            </w:r>
            <w:proofErr w:type="gramEnd"/>
            <w:r w:rsidRPr="008F0297">
              <w:rPr>
                <w:rFonts w:cs="Arial"/>
              </w:rPr>
              <w:t xml:space="preserve"> rappel de l'importa</w:t>
            </w:r>
            <w:r w:rsidRPr="00A718FD">
              <w:rPr>
                <w:rFonts w:cs="Arial"/>
              </w:rPr>
              <w:t>nce de déclarer les agressions</w:t>
            </w:r>
          </w:p>
          <w:p w14:paraId="12CE2857" w14:textId="67D73D51" w:rsidR="00F37970" w:rsidRPr="000C05AC" w:rsidRDefault="00F37970" w:rsidP="00A920CA">
            <w:pPr>
              <w:numPr>
                <w:ilvl w:val="0"/>
                <w:numId w:val="8"/>
              </w:numPr>
              <w:spacing w:before="20" w:after="20"/>
              <w:ind w:left="709" w:right="70" w:hanging="357"/>
              <w:rPr>
                <w:rFonts w:cs="Arial"/>
              </w:rPr>
            </w:pPr>
            <w:r w:rsidRPr="000C05AC">
              <w:rPr>
                <w:rFonts w:cs="Arial"/>
              </w:rPr>
              <w:t>une charte des rôles et responsabilités</w:t>
            </w:r>
          </w:p>
        </w:tc>
        <w:tc>
          <w:tcPr>
            <w:tcW w:w="196" w:type="pct"/>
          </w:tcPr>
          <w:p w14:paraId="09EE5D10" w14:textId="77777777" w:rsidR="00F37970" w:rsidRPr="00C52026" w:rsidRDefault="00F37970" w:rsidP="00801A4A"/>
        </w:tc>
        <w:tc>
          <w:tcPr>
            <w:tcW w:w="219" w:type="pct"/>
          </w:tcPr>
          <w:p w14:paraId="1874DEEB" w14:textId="77777777" w:rsidR="00F37970" w:rsidRPr="00C52026" w:rsidRDefault="00F37970" w:rsidP="00801A4A"/>
        </w:tc>
        <w:tc>
          <w:tcPr>
            <w:tcW w:w="211" w:type="pct"/>
          </w:tcPr>
          <w:p w14:paraId="5698A860" w14:textId="77777777" w:rsidR="00F37970" w:rsidRPr="00C52026" w:rsidRDefault="00F37970" w:rsidP="00801A4A"/>
        </w:tc>
        <w:tc>
          <w:tcPr>
            <w:tcW w:w="566" w:type="pct"/>
          </w:tcPr>
          <w:p w14:paraId="39803DE5" w14:textId="77777777" w:rsidR="00F37970" w:rsidRPr="00C52026" w:rsidRDefault="00F37970" w:rsidP="00801A4A"/>
        </w:tc>
        <w:tc>
          <w:tcPr>
            <w:tcW w:w="563" w:type="pct"/>
          </w:tcPr>
          <w:p w14:paraId="3D965E97" w14:textId="77777777" w:rsidR="00F37970" w:rsidRPr="00C52026" w:rsidRDefault="00F37970" w:rsidP="00801A4A"/>
        </w:tc>
      </w:tr>
      <w:tr w:rsidR="00F37970" w:rsidRPr="00C52026" w14:paraId="688162B4" w14:textId="4CB79501" w:rsidTr="00F37970">
        <w:tc>
          <w:tcPr>
            <w:tcW w:w="3245" w:type="pct"/>
          </w:tcPr>
          <w:p w14:paraId="6CE57A85" w14:textId="3685E30D" w:rsidR="00F37970" w:rsidRPr="00A718FD" w:rsidRDefault="00F37970" w:rsidP="000C05AC">
            <w:pPr>
              <w:spacing w:before="20" w:after="20"/>
              <w:ind w:right="70"/>
            </w:pPr>
            <w:r w:rsidRPr="008F0297">
              <w:rPr>
                <w:rFonts w:cs="Arial"/>
              </w:rPr>
              <w:t>Les mesures</w:t>
            </w:r>
            <w:r w:rsidRPr="00A718FD">
              <w:rPr>
                <w:rFonts w:cs="Arial"/>
              </w:rPr>
              <w:t xml:space="preserve"> de prévention sont</w:t>
            </w:r>
            <w:r w:rsidRPr="008F0297">
              <w:rPr>
                <w:rFonts w:cs="Arial"/>
              </w:rPr>
              <w:t xml:space="preserve"> adaptées au type de clientèle, aux manifestations de violence possibles ainsi qu’à leur fréquence.</w:t>
            </w:r>
            <w:r w:rsidRPr="00A718FD">
              <w:rPr>
                <w:rFonts w:cs="Arial"/>
              </w:rPr>
              <w:t xml:space="preserve"> Elles </w:t>
            </w:r>
            <w:r w:rsidRPr="008F0297">
              <w:rPr>
                <w:rFonts w:cs="Arial"/>
              </w:rPr>
              <w:t>concorde</w:t>
            </w:r>
            <w:r w:rsidRPr="00A718FD">
              <w:rPr>
                <w:rFonts w:cs="Arial"/>
              </w:rPr>
              <w:t>nt</w:t>
            </w:r>
            <w:r w:rsidRPr="008F0297">
              <w:rPr>
                <w:rFonts w:cs="Arial"/>
              </w:rPr>
              <w:t xml:space="preserve"> avec les ligne</w:t>
            </w:r>
            <w:r w:rsidRPr="00A718FD">
              <w:rPr>
                <w:rFonts w:cs="Arial"/>
              </w:rPr>
              <w:t>s directrices du MSSS s’il y a lieu (ex. : contention, isolement)</w:t>
            </w:r>
          </w:p>
        </w:tc>
        <w:tc>
          <w:tcPr>
            <w:tcW w:w="196" w:type="pct"/>
          </w:tcPr>
          <w:p w14:paraId="3A9A2DF0" w14:textId="77777777" w:rsidR="00F37970" w:rsidRPr="00C52026" w:rsidRDefault="00F37970" w:rsidP="00801A4A"/>
        </w:tc>
        <w:tc>
          <w:tcPr>
            <w:tcW w:w="219" w:type="pct"/>
          </w:tcPr>
          <w:p w14:paraId="47E12023" w14:textId="77777777" w:rsidR="00F37970" w:rsidRPr="00C52026" w:rsidRDefault="00F37970" w:rsidP="00801A4A"/>
        </w:tc>
        <w:tc>
          <w:tcPr>
            <w:tcW w:w="211" w:type="pct"/>
          </w:tcPr>
          <w:p w14:paraId="229AB14A" w14:textId="77777777" w:rsidR="00F37970" w:rsidRPr="00C52026" w:rsidRDefault="00F37970" w:rsidP="00801A4A"/>
        </w:tc>
        <w:tc>
          <w:tcPr>
            <w:tcW w:w="566" w:type="pct"/>
          </w:tcPr>
          <w:p w14:paraId="23901DCE" w14:textId="77777777" w:rsidR="00F37970" w:rsidRPr="00C52026" w:rsidRDefault="00F37970" w:rsidP="00801A4A"/>
        </w:tc>
        <w:tc>
          <w:tcPr>
            <w:tcW w:w="563" w:type="pct"/>
          </w:tcPr>
          <w:p w14:paraId="39DC3283" w14:textId="77777777" w:rsidR="00F37970" w:rsidRPr="00C52026" w:rsidRDefault="00F37970" w:rsidP="00801A4A"/>
        </w:tc>
      </w:tr>
      <w:tr w:rsidR="00F37970" w:rsidRPr="00C52026" w14:paraId="51D8C705" w14:textId="4F8A9BB0" w:rsidTr="00F37970">
        <w:tc>
          <w:tcPr>
            <w:tcW w:w="3245" w:type="pct"/>
          </w:tcPr>
          <w:p w14:paraId="15E89E6A" w14:textId="23F71A37" w:rsidR="00F37970" w:rsidRPr="00A718FD" w:rsidRDefault="00F37970" w:rsidP="00801A4A">
            <w:pPr>
              <w:spacing w:before="20" w:after="20"/>
              <w:ind w:right="70"/>
            </w:pPr>
            <w:r>
              <w:t>De</w:t>
            </w:r>
            <w:r w:rsidRPr="00A718FD">
              <w:t>s mesures d’amélioration continue de la qualité des soins et des services (connaissance du client, plan d’intervention adapté, communication de l’information)</w:t>
            </w:r>
            <w:r>
              <w:t xml:space="preserve"> sont appliquées</w:t>
            </w:r>
          </w:p>
        </w:tc>
        <w:tc>
          <w:tcPr>
            <w:tcW w:w="196" w:type="pct"/>
          </w:tcPr>
          <w:p w14:paraId="18120906" w14:textId="77777777" w:rsidR="00F37970" w:rsidRPr="00C52026" w:rsidRDefault="00F37970" w:rsidP="00801A4A"/>
        </w:tc>
        <w:tc>
          <w:tcPr>
            <w:tcW w:w="219" w:type="pct"/>
          </w:tcPr>
          <w:p w14:paraId="06F0EDB8" w14:textId="77777777" w:rsidR="00F37970" w:rsidRPr="00C52026" w:rsidRDefault="00F37970" w:rsidP="00801A4A"/>
        </w:tc>
        <w:tc>
          <w:tcPr>
            <w:tcW w:w="211" w:type="pct"/>
          </w:tcPr>
          <w:p w14:paraId="63DC6AB5" w14:textId="77777777" w:rsidR="00F37970" w:rsidRPr="00C52026" w:rsidRDefault="00F37970" w:rsidP="00801A4A"/>
        </w:tc>
        <w:tc>
          <w:tcPr>
            <w:tcW w:w="566" w:type="pct"/>
          </w:tcPr>
          <w:p w14:paraId="19F68ACE" w14:textId="77777777" w:rsidR="00F37970" w:rsidRPr="00C52026" w:rsidRDefault="00F37970" w:rsidP="00801A4A"/>
        </w:tc>
        <w:tc>
          <w:tcPr>
            <w:tcW w:w="563" w:type="pct"/>
          </w:tcPr>
          <w:p w14:paraId="13838F73" w14:textId="77777777" w:rsidR="00F37970" w:rsidRPr="00C52026" w:rsidRDefault="00F37970" w:rsidP="00801A4A"/>
        </w:tc>
      </w:tr>
      <w:tr w:rsidR="00F37970" w:rsidRPr="00C52026" w14:paraId="787718C4" w14:textId="3922E075" w:rsidTr="00F37970">
        <w:tc>
          <w:tcPr>
            <w:tcW w:w="3245" w:type="pct"/>
          </w:tcPr>
          <w:p w14:paraId="18668CAE" w14:textId="203C3F97" w:rsidR="00F37970" w:rsidRPr="00A718FD" w:rsidRDefault="00F37970" w:rsidP="00801A4A">
            <w:pPr>
              <w:spacing w:before="20" w:after="20"/>
              <w:ind w:right="70"/>
            </w:pPr>
            <w:r>
              <w:t>D</w:t>
            </w:r>
            <w:r w:rsidRPr="00A718FD">
              <w:t>es mesures de contrôle et de surveillance de</w:t>
            </w:r>
            <w:r>
              <w:t xml:space="preserve">s </w:t>
            </w:r>
            <w:r w:rsidRPr="00A718FD">
              <w:t>accès et de la circulation de la clientèle</w:t>
            </w:r>
            <w:r>
              <w:t xml:space="preserve"> sont en place</w:t>
            </w:r>
          </w:p>
        </w:tc>
        <w:tc>
          <w:tcPr>
            <w:tcW w:w="196" w:type="pct"/>
          </w:tcPr>
          <w:p w14:paraId="312F9DE4" w14:textId="77777777" w:rsidR="00F37970" w:rsidRPr="00C52026" w:rsidRDefault="00F37970" w:rsidP="00801A4A"/>
        </w:tc>
        <w:tc>
          <w:tcPr>
            <w:tcW w:w="219" w:type="pct"/>
          </w:tcPr>
          <w:p w14:paraId="0AC913E4" w14:textId="77777777" w:rsidR="00F37970" w:rsidRPr="00C52026" w:rsidRDefault="00F37970" w:rsidP="00801A4A"/>
        </w:tc>
        <w:tc>
          <w:tcPr>
            <w:tcW w:w="211" w:type="pct"/>
          </w:tcPr>
          <w:p w14:paraId="5F0CC00F" w14:textId="77777777" w:rsidR="00F37970" w:rsidRPr="00C52026" w:rsidRDefault="00F37970" w:rsidP="00801A4A"/>
        </w:tc>
        <w:tc>
          <w:tcPr>
            <w:tcW w:w="566" w:type="pct"/>
          </w:tcPr>
          <w:p w14:paraId="0730DC10" w14:textId="77777777" w:rsidR="00F37970" w:rsidRPr="00C52026" w:rsidRDefault="00F37970" w:rsidP="00801A4A"/>
        </w:tc>
        <w:tc>
          <w:tcPr>
            <w:tcW w:w="563" w:type="pct"/>
          </w:tcPr>
          <w:p w14:paraId="0A09AC64" w14:textId="77777777" w:rsidR="00F37970" w:rsidRPr="00C52026" w:rsidRDefault="00F37970" w:rsidP="00801A4A"/>
        </w:tc>
      </w:tr>
      <w:tr w:rsidR="00F37970" w:rsidRPr="00C52026" w14:paraId="06AED4BF" w14:textId="30274189" w:rsidTr="00F37970">
        <w:tc>
          <w:tcPr>
            <w:tcW w:w="3245" w:type="pct"/>
          </w:tcPr>
          <w:p w14:paraId="7325203A" w14:textId="02653077" w:rsidR="00F37970" w:rsidRPr="00A718FD" w:rsidRDefault="00F37970" w:rsidP="00801A4A">
            <w:pPr>
              <w:spacing w:before="20" w:after="20"/>
              <w:ind w:right="70"/>
            </w:pPr>
            <w:r>
              <w:t>L</w:t>
            </w:r>
            <w:r w:rsidRPr="00A718FD">
              <w:t xml:space="preserve">es équipements de sécurité </w:t>
            </w:r>
            <w:r>
              <w:t>nécessaires sont disponibles et fonctionnels</w:t>
            </w:r>
            <w:r w:rsidRPr="00A718FD">
              <w:t xml:space="preserve"> (système d’alarme, d’alerte ou de sur</w:t>
            </w:r>
            <w:r>
              <w:t>veillance)</w:t>
            </w:r>
          </w:p>
        </w:tc>
        <w:tc>
          <w:tcPr>
            <w:tcW w:w="196" w:type="pct"/>
          </w:tcPr>
          <w:p w14:paraId="725237A5" w14:textId="77777777" w:rsidR="00F37970" w:rsidRPr="00C52026" w:rsidRDefault="00F37970" w:rsidP="00801A4A"/>
        </w:tc>
        <w:tc>
          <w:tcPr>
            <w:tcW w:w="219" w:type="pct"/>
          </w:tcPr>
          <w:p w14:paraId="572DA868" w14:textId="77777777" w:rsidR="00F37970" w:rsidRPr="00C52026" w:rsidRDefault="00F37970" w:rsidP="00801A4A"/>
        </w:tc>
        <w:tc>
          <w:tcPr>
            <w:tcW w:w="211" w:type="pct"/>
          </w:tcPr>
          <w:p w14:paraId="0DA2742D" w14:textId="77777777" w:rsidR="00F37970" w:rsidRPr="00C52026" w:rsidRDefault="00F37970" w:rsidP="00801A4A"/>
        </w:tc>
        <w:tc>
          <w:tcPr>
            <w:tcW w:w="566" w:type="pct"/>
          </w:tcPr>
          <w:p w14:paraId="2C4FA662" w14:textId="77777777" w:rsidR="00F37970" w:rsidRPr="00C52026" w:rsidRDefault="00F37970" w:rsidP="00801A4A"/>
        </w:tc>
        <w:tc>
          <w:tcPr>
            <w:tcW w:w="563" w:type="pct"/>
          </w:tcPr>
          <w:p w14:paraId="6D09EA00" w14:textId="77777777" w:rsidR="00F37970" w:rsidRPr="00C52026" w:rsidRDefault="00F37970" w:rsidP="00801A4A"/>
        </w:tc>
      </w:tr>
      <w:tr w:rsidR="00F37970" w:rsidRPr="00C52026" w14:paraId="4A11DA4A" w14:textId="3062FBE9" w:rsidTr="00F37970">
        <w:tc>
          <w:tcPr>
            <w:tcW w:w="3245" w:type="pct"/>
          </w:tcPr>
          <w:p w14:paraId="3F9038FA" w14:textId="642C7F99" w:rsidR="00F37970" w:rsidRPr="00A718FD" w:rsidRDefault="00F37970" w:rsidP="00801A4A">
            <w:pPr>
              <w:spacing w:before="20" w:after="20"/>
              <w:ind w:right="70"/>
            </w:pPr>
            <w:r>
              <w:t>L</w:t>
            </w:r>
            <w:r w:rsidRPr="00A718FD">
              <w:t xml:space="preserve">’aménagement de l’environnement </w:t>
            </w:r>
            <w:r>
              <w:t xml:space="preserve">respecte les règles de sécurité reconnues </w:t>
            </w:r>
            <w:r w:rsidRPr="00A718FD">
              <w:t>(</w:t>
            </w:r>
            <w:r>
              <w:t xml:space="preserve">ex. : </w:t>
            </w:r>
            <w:r w:rsidRPr="00A718FD">
              <w:t xml:space="preserve">disposition </w:t>
            </w:r>
            <w:r>
              <w:t xml:space="preserve">et </w:t>
            </w:r>
            <w:r w:rsidRPr="00A718FD">
              <w:t>sécurité du mobilier, quincaillerie sécuritaire</w:t>
            </w:r>
            <w:r>
              <w:t>, etc.</w:t>
            </w:r>
            <w:r w:rsidRPr="00A718FD">
              <w:t>)</w:t>
            </w:r>
          </w:p>
        </w:tc>
        <w:tc>
          <w:tcPr>
            <w:tcW w:w="196" w:type="pct"/>
          </w:tcPr>
          <w:p w14:paraId="1AE69927" w14:textId="77777777" w:rsidR="00F37970" w:rsidRPr="00C52026" w:rsidRDefault="00F37970" w:rsidP="00801A4A"/>
        </w:tc>
        <w:tc>
          <w:tcPr>
            <w:tcW w:w="219" w:type="pct"/>
          </w:tcPr>
          <w:p w14:paraId="1B8E27D7" w14:textId="77777777" w:rsidR="00F37970" w:rsidRPr="00C52026" w:rsidRDefault="00F37970" w:rsidP="00801A4A"/>
        </w:tc>
        <w:tc>
          <w:tcPr>
            <w:tcW w:w="211" w:type="pct"/>
          </w:tcPr>
          <w:p w14:paraId="379B1F33" w14:textId="77777777" w:rsidR="00F37970" w:rsidRPr="00C52026" w:rsidRDefault="00F37970" w:rsidP="00801A4A"/>
        </w:tc>
        <w:tc>
          <w:tcPr>
            <w:tcW w:w="566" w:type="pct"/>
          </w:tcPr>
          <w:p w14:paraId="5508B4ED" w14:textId="77777777" w:rsidR="00F37970" w:rsidRPr="00C52026" w:rsidRDefault="00F37970" w:rsidP="00801A4A"/>
        </w:tc>
        <w:tc>
          <w:tcPr>
            <w:tcW w:w="563" w:type="pct"/>
          </w:tcPr>
          <w:p w14:paraId="6066E180" w14:textId="77777777" w:rsidR="00F37970" w:rsidRPr="00C52026" w:rsidRDefault="00F37970" w:rsidP="00801A4A"/>
        </w:tc>
      </w:tr>
      <w:tr w:rsidR="00F37970" w:rsidRPr="00C52026" w14:paraId="29C112A1" w14:textId="65E5CCC1" w:rsidTr="00F37970">
        <w:tc>
          <w:tcPr>
            <w:tcW w:w="3245" w:type="pct"/>
          </w:tcPr>
          <w:p w14:paraId="618FC247" w14:textId="0ACBA6B7" w:rsidR="00F37970" w:rsidRPr="00A718FD" w:rsidRDefault="00F37970" w:rsidP="00801A4A">
            <w:pPr>
              <w:spacing w:before="20" w:after="20"/>
              <w:ind w:right="70"/>
            </w:pPr>
            <w:r>
              <w:t>L</w:t>
            </w:r>
            <w:r w:rsidRPr="00A718FD">
              <w:t xml:space="preserve">es travailleurs </w:t>
            </w:r>
            <w:r>
              <w:t xml:space="preserve">reçoivent de la formation spécifique </w:t>
            </w:r>
            <w:r w:rsidRPr="00A718FD">
              <w:t>pour comprendre l</w:t>
            </w:r>
            <w:r>
              <w:t>eur clientèle et s</w:t>
            </w:r>
            <w:r w:rsidRPr="00A718FD">
              <w:t>es besoins</w:t>
            </w:r>
            <w:r>
              <w:t xml:space="preserve"> ainsi qu’une </w:t>
            </w:r>
            <w:r w:rsidRPr="00424582">
              <w:rPr>
                <w:rFonts w:cs="Arial"/>
              </w:rPr>
              <w:t>f</w:t>
            </w:r>
            <w:r w:rsidRPr="008F0297">
              <w:t>ormation</w:t>
            </w:r>
            <w:r w:rsidRPr="004245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pour assurer leur protection si nécessaire</w:t>
            </w:r>
          </w:p>
        </w:tc>
        <w:tc>
          <w:tcPr>
            <w:tcW w:w="196" w:type="pct"/>
          </w:tcPr>
          <w:p w14:paraId="631D11C8" w14:textId="77777777" w:rsidR="00F37970" w:rsidRPr="00C52026" w:rsidRDefault="00F37970" w:rsidP="00801A4A"/>
        </w:tc>
        <w:tc>
          <w:tcPr>
            <w:tcW w:w="219" w:type="pct"/>
          </w:tcPr>
          <w:p w14:paraId="6D4011DA" w14:textId="77777777" w:rsidR="00F37970" w:rsidRPr="00C52026" w:rsidRDefault="00F37970" w:rsidP="00801A4A"/>
        </w:tc>
        <w:tc>
          <w:tcPr>
            <w:tcW w:w="211" w:type="pct"/>
          </w:tcPr>
          <w:p w14:paraId="4DF9BD20" w14:textId="77777777" w:rsidR="00F37970" w:rsidRPr="00C52026" w:rsidRDefault="00F37970" w:rsidP="00801A4A"/>
        </w:tc>
        <w:tc>
          <w:tcPr>
            <w:tcW w:w="566" w:type="pct"/>
          </w:tcPr>
          <w:p w14:paraId="00D941E1" w14:textId="77777777" w:rsidR="00F37970" w:rsidRPr="00C52026" w:rsidRDefault="00F37970" w:rsidP="00801A4A"/>
        </w:tc>
        <w:tc>
          <w:tcPr>
            <w:tcW w:w="563" w:type="pct"/>
          </w:tcPr>
          <w:p w14:paraId="3BECFF7A" w14:textId="77777777" w:rsidR="00F37970" w:rsidRPr="00C52026" w:rsidRDefault="00F37970" w:rsidP="00801A4A"/>
        </w:tc>
      </w:tr>
      <w:tr w:rsidR="00F37970" w:rsidRPr="00C52026" w14:paraId="026F833C" w14:textId="0E11AC5D" w:rsidTr="00F37970">
        <w:tc>
          <w:tcPr>
            <w:tcW w:w="3245" w:type="pct"/>
          </w:tcPr>
          <w:p w14:paraId="6BB55AFB" w14:textId="1E197BEA" w:rsidR="00F37970" w:rsidRPr="00A718FD" w:rsidRDefault="00F37970" w:rsidP="00801A4A">
            <w:pPr>
              <w:spacing w:before="20" w:after="20"/>
              <w:ind w:right="70"/>
            </w:pPr>
            <w:r>
              <w:t xml:space="preserve">Une </w:t>
            </w:r>
            <w:r w:rsidRPr="00A718FD">
              <w:t xml:space="preserve">procédure </w:t>
            </w:r>
            <w:r>
              <w:t xml:space="preserve">encadre les </w:t>
            </w:r>
            <w:r w:rsidRPr="00A718FD">
              <w:t>visite</w:t>
            </w:r>
            <w:r>
              <w:t>s</w:t>
            </w:r>
            <w:r w:rsidRPr="00A718FD">
              <w:t xml:space="preserve"> à domicile à risque</w:t>
            </w:r>
          </w:p>
        </w:tc>
        <w:tc>
          <w:tcPr>
            <w:tcW w:w="196" w:type="pct"/>
          </w:tcPr>
          <w:p w14:paraId="277046EC" w14:textId="77777777" w:rsidR="00F37970" w:rsidRPr="00C52026" w:rsidRDefault="00F37970" w:rsidP="00801A4A"/>
        </w:tc>
        <w:tc>
          <w:tcPr>
            <w:tcW w:w="219" w:type="pct"/>
          </w:tcPr>
          <w:p w14:paraId="195D8967" w14:textId="77777777" w:rsidR="00F37970" w:rsidRPr="00C52026" w:rsidRDefault="00F37970" w:rsidP="00801A4A"/>
        </w:tc>
        <w:tc>
          <w:tcPr>
            <w:tcW w:w="211" w:type="pct"/>
          </w:tcPr>
          <w:p w14:paraId="346CFAB4" w14:textId="77777777" w:rsidR="00F37970" w:rsidRPr="00C52026" w:rsidRDefault="00F37970" w:rsidP="00801A4A"/>
        </w:tc>
        <w:tc>
          <w:tcPr>
            <w:tcW w:w="566" w:type="pct"/>
          </w:tcPr>
          <w:p w14:paraId="53DA8D67" w14:textId="77777777" w:rsidR="00F37970" w:rsidRPr="00C52026" w:rsidRDefault="00F37970" w:rsidP="00801A4A"/>
        </w:tc>
        <w:tc>
          <w:tcPr>
            <w:tcW w:w="563" w:type="pct"/>
          </w:tcPr>
          <w:p w14:paraId="570E125F" w14:textId="77777777" w:rsidR="00F37970" w:rsidRPr="00C52026" w:rsidRDefault="00F37970" w:rsidP="00801A4A"/>
        </w:tc>
      </w:tr>
      <w:tr w:rsidR="00F37970" w:rsidRPr="00C52026" w14:paraId="02E21FC3" w14:textId="51E3B541" w:rsidTr="00F37970">
        <w:tc>
          <w:tcPr>
            <w:tcW w:w="3245" w:type="pct"/>
          </w:tcPr>
          <w:p w14:paraId="29CA3CB7" w14:textId="4CF44498" w:rsidR="00F37970" w:rsidRPr="00A718FD" w:rsidRDefault="00F37970" w:rsidP="00801A4A">
            <w:pPr>
              <w:spacing w:before="20" w:after="20"/>
              <w:ind w:right="70"/>
            </w:pPr>
            <w:r>
              <w:rPr>
                <w:rFonts w:cs="Arial"/>
              </w:rPr>
              <w:t>Une p</w:t>
            </w:r>
            <w:r w:rsidRPr="008F0297">
              <w:rPr>
                <w:rFonts w:cs="Arial"/>
              </w:rPr>
              <w:t>rocédure défini</w:t>
            </w:r>
            <w:r>
              <w:rPr>
                <w:rFonts w:cs="Arial"/>
              </w:rPr>
              <w:t xml:space="preserve">t </w:t>
            </w:r>
            <w:r w:rsidRPr="008F0297">
              <w:rPr>
                <w:rFonts w:cs="Arial"/>
              </w:rPr>
              <w:t>l’intervention sécuritaire lors de crises de violence (service de sécurit</w:t>
            </w:r>
            <w:r w:rsidRPr="00A718FD">
              <w:rPr>
                <w:rFonts w:cs="Arial"/>
              </w:rPr>
              <w:t>é, équipe de code blanc, etc.)</w:t>
            </w:r>
          </w:p>
        </w:tc>
        <w:tc>
          <w:tcPr>
            <w:tcW w:w="196" w:type="pct"/>
          </w:tcPr>
          <w:p w14:paraId="4E87F7F2" w14:textId="77777777" w:rsidR="00F37970" w:rsidRPr="00C52026" w:rsidRDefault="00F37970" w:rsidP="00801A4A"/>
        </w:tc>
        <w:tc>
          <w:tcPr>
            <w:tcW w:w="219" w:type="pct"/>
          </w:tcPr>
          <w:p w14:paraId="513FD2FC" w14:textId="77777777" w:rsidR="00F37970" w:rsidRPr="00C52026" w:rsidRDefault="00F37970" w:rsidP="00801A4A"/>
        </w:tc>
        <w:tc>
          <w:tcPr>
            <w:tcW w:w="211" w:type="pct"/>
          </w:tcPr>
          <w:p w14:paraId="188DDFBF" w14:textId="77777777" w:rsidR="00F37970" w:rsidRPr="00C52026" w:rsidRDefault="00F37970" w:rsidP="00801A4A"/>
        </w:tc>
        <w:tc>
          <w:tcPr>
            <w:tcW w:w="566" w:type="pct"/>
          </w:tcPr>
          <w:p w14:paraId="15CD5FD5" w14:textId="77777777" w:rsidR="00F37970" w:rsidRPr="00C52026" w:rsidRDefault="00F37970" w:rsidP="00801A4A"/>
        </w:tc>
        <w:tc>
          <w:tcPr>
            <w:tcW w:w="563" w:type="pct"/>
          </w:tcPr>
          <w:p w14:paraId="27AD6A49" w14:textId="77777777" w:rsidR="00F37970" w:rsidRPr="00C52026" w:rsidRDefault="00F37970" w:rsidP="00801A4A"/>
        </w:tc>
      </w:tr>
      <w:tr w:rsidR="00F37970" w:rsidRPr="00C52026" w14:paraId="41BBD3C7" w14:textId="42D34D08" w:rsidTr="00F37970">
        <w:tc>
          <w:tcPr>
            <w:tcW w:w="3245" w:type="pct"/>
          </w:tcPr>
          <w:p w14:paraId="6317F9E9" w14:textId="475839F9" w:rsidR="00F37970" w:rsidRPr="00A718FD" w:rsidRDefault="00F37970" w:rsidP="00801A4A">
            <w:pPr>
              <w:spacing w:before="20" w:after="20"/>
              <w:ind w:right="70"/>
            </w:pPr>
            <w:r w:rsidRPr="008F0297">
              <w:rPr>
                <w:rFonts w:cs="Arial"/>
                <w:bCs/>
              </w:rPr>
              <w:lastRenderedPageBreak/>
              <w:t xml:space="preserve">Des mesures </w:t>
            </w:r>
            <w:r w:rsidRPr="00A718FD">
              <w:rPr>
                <w:rFonts w:cs="Arial"/>
                <w:bCs/>
              </w:rPr>
              <w:t xml:space="preserve">pour apprendre et </w:t>
            </w:r>
            <w:r w:rsidRPr="008F0297">
              <w:rPr>
                <w:rFonts w:cs="Arial"/>
                <w:bCs/>
              </w:rPr>
              <w:t xml:space="preserve">récupérer </w:t>
            </w:r>
            <w:r w:rsidRPr="00A718FD">
              <w:rPr>
                <w:rFonts w:cs="Arial"/>
                <w:bCs/>
              </w:rPr>
              <w:t>des événements</w:t>
            </w:r>
            <w:r w:rsidRPr="008F0297">
              <w:rPr>
                <w:rFonts w:cs="Arial"/>
                <w:bCs/>
              </w:rPr>
              <w:t xml:space="preserve"> sont documentées</w:t>
            </w:r>
          </w:p>
        </w:tc>
        <w:tc>
          <w:tcPr>
            <w:tcW w:w="196" w:type="pct"/>
          </w:tcPr>
          <w:p w14:paraId="29DB43FA" w14:textId="77777777" w:rsidR="00F37970" w:rsidRPr="00C52026" w:rsidRDefault="00F37970" w:rsidP="00801A4A"/>
        </w:tc>
        <w:tc>
          <w:tcPr>
            <w:tcW w:w="219" w:type="pct"/>
          </w:tcPr>
          <w:p w14:paraId="5BCB899D" w14:textId="77777777" w:rsidR="00F37970" w:rsidRPr="00C52026" w:rsidRDefault="00F37970" w:rsidP="00801A4A"/>
        </w:tc>
        <w:tc>
          <w:tcPr>
            <w:tcW w:w="211" w:type="pct"/>
          </w:tcPr>
          <w:p w14:paraId="2A6B23ED" w14:textId="77777777" w:rsidR="00F37970" w:rsidRPr="00C52026" w:rsidRDefault="00F37970" w:rsidP="00801A4A"/>
        </w:tc>
        <w:tc>
          <w:tcPr>
            <w:tcW w:w="566" w:type="pct"/>
          </w:tcPr>
          <w:p w14:paraId="6B4E1768" w14:textId="77777777" w:rsidR="00F37970" w:rsidRPr="00C52026" w:rsidRDefault="00F37970" w:rsidP="00801A4A"/>
        </w:tc>
        <w:tc>
          <w:tcPr>
            <w:tcW w:w="563" w:type="pct"/>
          </w:tcPr>
          <w:p w14:paraId="3F3F15EE" w14:textId="77777777" w:rsidR="00F37970" w:rsidRPr="00C52026" w:rsidRDefault="00F37970" w:rsidP="00801A4A"/>
        </w:tc>
      </w:tr>
      <w:tr w:rsidR="00F37970" w:rsidRPr="00C52026" w14:paraId="22051047" w14:textId="7239261F" w:rsidTr="00F37970">
        <w:tc>
          <w:tcPr>
            <w:tcW w:w="3245" w:type="pct"/>
          </w:tcPr>
          <w:p w14:paraId="048223B5" w14:textId="1F9C0B0D" w:rsidR="00F37970" w:rsidRPr="001632C8" w:rsidRDefault="00F37970" w:rsidP="00801A4A">
            <w:pPr>
              <w:spacing w:before="20" w:after="20"/>
              <w:ind w:right="70"/>
              <w:rPr>
                <w:rFonts w:cs="Arial"/>
              </w:rPr>
            </w:pPr>
            <w:r>
              <w:rPr>
                <w:rFonts w:cs="Arial"/>
              </w:rPr>
              <w:t>Des m</w:t>
            </w:r>
            <w:r w:rsidRPr="008F0297">
              <w:rPr>
                <w:rFonts w:cs="Arial"/>
              </w:rPr>
              <w:t>esures de soutien aux victimes (retour post-événement, programme d’aide aux employés, mesures de réin</w:t>
            </w:r>
            <w:r w:rsidRPr="00A718FD">
              <w:rPr>
                <w:rFonts w:cs="Arial"/>
              </w:rPr>
              <w:t>tégration au travail)</w:t>
            </w:r>
            <w:r>
              <w:rPr>
                <w:rFonts w:cs="Arial"/>
              </w:rPr>
              <w:t xml:space="preserve"> existent</w:t>
            </w:r>
          </w:p>
        </w:tc>
        <w:tc>
          <w:tcPr>
            <w:tcW w:w="196" w:type="pct"/>
          </w:tcPr>
          <w:p w14:paraId="0FA08750" w14:textId="77777777" w:rsidR="00F37970" w:rsidRPr="00C52026" w:rsidRDefault="00F37970" w:rsidP="00801A4A"/>
        </w:tc>
        <w:tc>
          <w:tcPr>
            <w:tcW w:w="219" w:type="pct"/>
          </w:tcPr>
          <w:p w14:paraId="1C73B027" w14:textId="77777777" w:rsidR="00F37970" w:rsidRPr="00C52026" w:rsidRDefault="00F37970" w:rsidP="00801A4A"/>
        </w:tc>
        <w:tc>
          <w:tcPr>
            <w:tcW w:w="211" w:type="pct"/>
          </w:tcPr>
          <w:p w14:paraId="1D398277" w14:textId="77777777" w:rsidR="00F37970" w:rsidRPr="00C52026" w:rsidRDefault="00F37970" w:rsidP="00801A4A"/>
        </w:tc>
        <w:tc>
          <w:tcPr>
            <w:tcW w:w="566" w:type="pct"/>
          </w:tcPr>
          <w:p w14:paraId="424ECED8" w14:textId="77777777" w:rsidR="00F37970" w:rsidRPr="00C52026" w:rsidRDefault="00F37970" w:rsidP="00801A4A"/>
        </w:tc>
        <w:tc>
          <w:tcPr>
            <w:tcW w:w="563" w:type="pct"/>
          </w:tcPr>
          <w:p w14:paraId="15786B3A" w14:textId="77777777" w:rsidR="00F37970" w:rsidRPr="00C52026" w:rsidRDefault="00F37970" w:rsidP="00801A4A"/>
        </w:tc>
      </w:tr>
      <w:tr w:rsidR="00F37970" w:rsidRPr="00C52026" w14:paraId="234C0081" w14:textId="47B63C34" w:rsidTr="00F37970">
        <w:tc>
          <w:tcPr>
            <w:tcW w:w="3245" w:type="pct"/>
          </w:tcPr>
          <w:p w14:paraId="58DD6D2B" w14:textId="47D8791E" w:rsidR="00F37970" w:rsidRPr="008F0297" w:rsidRDefault="00F37970" w:rsidP="00801A4A">
            <w:pPr>
              <w:spacing w:before="20" w:after="20"/>
              <w:ind w:right="70"/>
              <w:rPr>
                <w:rFonts w:cs="Arial"/>
                <w:bCs/>
              </w:rPr>
            </w:pPr>
            <w:r w:rsidRPr="00A718FD">
              <w:rPr>
                <w:rFonts w:cs="Arial"/>
              </w:rPr>
              <w:t>Les différentes procédures et mesures de prévention sont évaluées régulièrement afin de s’assurer qu’elles donnent les résultats escomptés</w:t>
            </w:r>
          </w:p>
        </w:tc>
        <w:tc>
          <w:tcPr>
            <w:tcW w:w="196" w:type="pct"/>
          </w:tcPr>
          <w:p w14:paraId="41B1F159" w14:textId="77777777" w:rsidR="00F37970" w:rsidRPr="00C52026" w:rsidRDefault="00F37970" w:rsidP="00801A4A"/>
        </w:tc>
        <w:tc>
          <w:tcPr>
            <w:tcW w:w="219" w:type="pct"/>
          </w:tcPr>
          <w:p w14:paraId="6284BE4B" w14:textId="77777777" w:rsidR="00F37970" w:rsidRPr="00C52026" w:rsidRDefault="00F37970" w:rsidP="00801A4A"/>
        </w:tc>
        <w:tc>
          <w:tcPr>
            <w:tcW w:w="211" w:type="pct"/>
          </w:tcPr>
          <w:p w14:paraId="198530B8" w14:textId="77777777" w:rsidR="00F37970" w:rsidRPr="00C52026" w:rsidRDefault="00F37970" w:rsidP="00801A4A"/>
        </w:tc>
        <w:tc>
          <w:tcPr>
            <w:tcW w:w="566" w:type="pct"/>
          </w:tcPr>
          <w:p w14:paraId="25AAC4C8" w14:textId="77777777" w:rsidR="00F37970" w:rsidRPr="00C52026" w:rsidRDefault="00F37970" w:rsidP="00801A4A"/>
        </w:tc>
        <w:tc>
          <w:tcPr>
            <w:tcW w:w="563" w:type="pct"/>
          </w:tcPr>
          <w:p w14:paraId="35307035" w14:textId="77777777" w:rsidR="00F37970" w:rsidRPr="00C52026" w:rsidRDefault="00F37970" w:rsidP="00801A4A"/>
        </w:tc>
      </w:tr>
      <w:tr w:rsidR="00F37970" w:rsidRPr="00C52026" w14:paraId="6D88BFF3" w14:textId="1E4D6883" w:rsidTr="00F37970">
        <w:tc>
          <w:tcPr>
            <w:tcW w:w="3245" w:type="pct"/>
          </w:tcPr>
          <w:p w14:paraId="52152747" w14:textId="77777777" w:rsidR="00F37970" w:rsidRDefault="00F37970" w:rsidP="00801A4A">
            <w:pPr>
              <w:spacing w:before="60" w:after="60"/>
              <w:ind w:right="70"/>
              <w:rPr>
                <w:i/>
              </w:rPr>
            </w:pPr>
            <w:r w:rsidRPr="00A718FD">
              <w:rPr>
                <w:i/>
              </w:rPr>
              <w:t>S</w:t>
            </w:r>
            <w:r w:rsidRPr="008F0297">
              <w:rPr>
                <w:i/>
              </w:rPr>
              <w:t>anté psychologique</w:t>
            </w:r>
          </w:p>
          <w:p w14:paraId="3AFC1F2D" w14:textId="1090A7E3" w:rsidR="00F37970" w:rsidRPr="00A718FD" w:rsidRDefault="00F37970" w:rsidP="00801A4A">
            <w:pPr>
              <w:spacing w:before="20" w:after="20"/>
              <w:ind w:right="70"/>
            </w:pPr>
            <w:r>
              <w:rPr>
                <w:i/>
              </w:rPr>
              <w:t>L’établissement met en place les mesures nécessaires pour favoriser la santé psychologique des travailleurs</w:t>
            </w:r>
          </w:p>
        </w:tc>
        <w:tc>
          <w:tcPr>
            <w:tcW w:w="196" w:type="pct"/>
          </w:tcPr>
          <w:p w14:paraId="7544C7C7" w14:textId="77777777" w:rsidR="00F37970" w:rsidRPr="00C52026" w:rsidRDefault="00F37970" w:rsidP="00801A4A"/>
        </w:tc>
        <w:tc>
          <w:tcPr>
            <w:tcW w:w="219" w:type="pct"/>
          </w:tcPr>
          <w:p w14:paraId="6AB1139A" w14:textId="77777777" w:rsidR="00F37970" w:rsidRPr="00C52026" w:rsidRDefault="00F37970" w:rsidP="00801A4A"/>
        </w:tc>
        <w:tc>
          <w:tcPr>
            <w:tcW w:w="211" w:type="pct"/>
          </w:tcPr>
          <w:p w14:paraId="2649F3F5" w14:textId="77777777" w:rsidR="00F37970" w:rsidRPr="00C52026" w:rsidRDefault="00F37970" w:rsidP="00801A4A"/>
        </w:tc>
        <w:tc>
          <w:tcPr>
            <w:tcW w:w="566" w:type="pct"/>
          </w:tcPr>
          <w:p w14:paraId="7E20BEE3" w14:textId="77777777" w:rsidR="00F37970" w:rsidRPr="00C52026" w:rsidRDefault="00F37970" w:rsidP="00801A4A"/>
        </w:tc>
        <w:tc>
          <w:tcPr>
            <w:tcW w:w="563" w:type="pct"/>
          </w:tcPr>
          <w:p w14:paraId="1AAF3977" w14:textId="77777777" w:rsidR="00F37970" w:rsidRPr="00C52026" w:rsidRDefault="00F37970" w:rsidP="00801A4A"/>
        </w:tc>
      </w:tr>
      <w:tr w:rsidR="00F37970" w:rsidRPr="00C52026" w14:paraId="6FD2D920" w14:textId="4F3C55D5" w:rsidTr="00F37970">
        <w:tc>
          <w:tcPr>
            <w:tcW w:w="3245" w:type="pct"/>
          </w:tcPr>
          <w:p w14:paraId="460AB20E" w14:textId="50066B29" w:rsidR="00F37970" w:rsidRPr="008F0297" w:rsidRDefault="00F37970" w:rsidP="00801A4A">
            <w:pPr>
              <w:spacing w:before="60" w:after="60"/>
              <w:ind w:right="70"/>
              <w:rPr>
                <w:i/>
              </w:rPr>
            </w:pPr>
            <w:r w:rsidRPr="00A718FD">
              <w:rPr>
                <w:rFonts w:cs="Arial"/>
              </w:rPr>
              <w:t>Les facteurs de risque</w:t>
            </w:r>
            <w:r>
              <w:rPr>
                <w:rFonts w:cs="Arial"/>
              </w:rPr>
              <w:t>s</w:t>
            </w:r>
            <w:r w:rsidRPr="00A718FD">
              <w:rPr>
                <w:rFonts w:cs="Arial"/>
              </w:rPr>
              <w:t xml:space="preserve"> spécifique</w:t>
            </w:r>
            <w:r>
              <w:rPr>
                <w:rFonts w:cs="Arial"/>
              </w:rPr>
              <w:t>s</w:t>
            </w:r>
            <w:r w:rsidRPr="00A718FD">
              <w:rPr>
                <w:rFonts w:cs="Arial"/>
              </w:rPr>
              <w:t xml:space="preserve"> au milieu de travail sont documentés</w:t>
            </w:r>
          </w:p>
        </w:tc>
        <w:tc>
          <w:tcPr>
            <w:tcW w:w="196" w:type="pct"/>
          </w:tcPr>
          <w:p w14:paraId="235DB055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219" w:type="pct"/>
          </w:tcPr>
          <w:p w14:paraId="5C428046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211" w:type="pct"/>
          </w:tcPr>
          <w:p w14:paraId="7E3FDDA2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566" w:type="pct"/>
          </w:tcPr>
          <w:p w14:paraId="732698BE" w14:textId="77777777" w:rsidR="00F37970" w:rsidRPr="00C52026" w:rsidRDefault="00F37970" w:rsidP="00801A4A">
            <w:pPr>
              <w:spacing w:before="60" w:after="60"/>
            </w:pPr>
          </w:p>
        </w:tc>
        <w:tc>
          <w:tcPr>
            <w:tcW w:w="563" w:type="pct"/>
          </w:tcPr>
          <w:p w14:paraId="58B5B0C8" w14:textId="77777777" w:rsidR="00F37970" w:rsidRPr="00C52026" w:rsidRDefault="00F37970" w:rsidP="00801A4A">
            <w:pPr>
              <w:spacing w:before="60" w:after="60"/>
            </w:pPr>
          </w:p>
        </w:tc>
      </w:tr>
      <w:tr w:rsidR="00F37970" w:rsidRPr="00C52026" w14:paraId="2F50DDAF" w14:textId="4D4BD1C8" w:rsidTr="00F37970">
        <w:tc>
          <w:tcPr>
            <w:tcW w:w="3245" w:type="pct"/>
          </w:tcPr>
          <w:p w14:paraId="4DE84CCB" w14:textId="2D3EBF44" w:rsidR="00F37970" w:rsidRPr="00A718FD" w:rsidRDefault="00F37970" w:rsidP="00801A4A">
            <w:pPr>
              <w:spacing w:before="20" w:after="20"/>
              <w:ind w:right="70"/>
              <w:rPr>
                <w:rFonts w:cs="Arial"/>
              </w:rPr>
            </w:pPr>
            <w:r w:rsidRPr="00A718FD">
              <w:rPr>
                <w:rFonts w:cs="Arial"/>
              </w:rPr>
              <w:t>Des statistiques documentent les problèmes de santé psychologique des travailleurs</w:t>
            </w:r>
          </w:p>
        </w:tc>
        <w:tc>
          <w:tcPr>
            <w:tcW w:w="196" w:type="pct"/>
          </w:tcPr>
          <w:p w14:paraId="63D6EC60" w14:textId="77777777" w:rsidR="00F37970" w:rsidRPr="00C52026" w:rsidRDefault="00F37970" w:rsidP="00801A4A"/>
        </w:tc>
        <w:tc>
          <w:tcPr>
            <w:tcW w:w="219" w:type="pct"/>
          </w:tcPr>
          <w:p w14:paraId="47370D8B" w14:textId="77777777" w:rsidR="00F37970" w:rsidRPr="00C52026" w:rsidRDefault="00F37970" w:rsidP="00801A4A"/>
        </w:tc>
        <w:tc>
          <w:tcPr>
            <w:tcW w:w="211" w:type="pct"/>
          </w:tcPr>
          <w:p w14:paraId="260F7234" w14:textId="77777777" w:rsidR="00F37970" w:rsidRPr="00C52026" w:rsidRDefault="00F37970" w:rsidP="00801A4A"/>
        </w:tc>
        <w:tc>
          <w:tcPr>
            <w:tcW w:w="566" w:type="pct"/>
          </w:tcPr>
          <w:p w14:paraId="399CED2A" w14:textId="77777777" w:rsidR="00F37970" w:rsidRPr="00C52026" w:rsidRDefault="00F37970" w:rsidP="00801A4A"/>
        </w:tc>
        <w:tc>
          <w:tcPr>
            <w:tcW w:w="563" w:type="pct"/>
          </w:tcPr>
          <w:p w14:paraId="70BBB96C" w14:textId="77777777" w:rsidR="00F37970" w:rsidRPr="00C52026" w:rsidRDefault="00F37970" w:rsidP="00801A4A"/>
        </w:tc>
      </w:tr>
      <w:tr w:rsidR="00F37970" w:rsidRPr="00C52026" w14:paraId="12D066AD" w14:textId="6CC56748" w:rsidTr="00F37970">
        <w:tc>
          <w:tcPr>
            <w:tcW w:w="3245" w:type="pct"/>
          </w:tcPr>
          <w:p w14:paraId="740FBAF7" w14:textId="38519E86" w:rsidR="00F37970" w:rsidRPr="00A718FD" w:rsidRDefault="00F37970" w:rsidP="00801A4A">
            <w:pPr>
              <w:spacing w:before="20" w:after="20"/>
              <w:ind w:right="70"/>
            </w:pPr>
            <w:r>
              <w:t>D</w:t>
            </w:r>
            <w:r w:rsidRPr="00A718FD">
              <w:t>es</w:t>
            </w:r>
            <w:r>
              <w:t xml:space="preserve"> mesures de prévention à la source permettent d’identifier des problèmes concrets</w:t>
            </w:r>
            <w:r w:rsidRPr="00A718FD">
              <w:t>, d</w:t>
            </w:r>
            <w:r>
              <w:t>’élaborer des solutions et d’implanter des mesures correct</w:t>
            </w:r>
            <w:r w:rsidRPr="00A718FD">
              <w:t>i</w:t>
            </w:r>
            <w:r>
              <w:t>ves</w:t>
            </w:r>
          </w:p>
        </w:tc>
        <w:tc>
          <w:tcPr>
            <w:tcW w:w="196" w:type="pct"/>
          </w:tcPr>
          <w:p w14:paraId="1A8498EF" w14:textId="77777777" w:rsidR="00F37970" w:rsidRPr="00C52026" w:rsidRDefault="00F37970" w:rsidP="00801A4A"/>
        </w:tc>
        <w:tc>
          <w:tcPr>
            <w:tcW w:w="219" w:type="pct"/>
          </w:tcPr>
          <w:p w14:paraId="6BEBBE65" w14:textId="77777777" w:rsidR="00F37970" w:rsidRPr="00C52026" w:rsidRDefault="00F37970" w:rsidP="00801A4A"/>
        </w:tc>
        <w:tc>
          <w:tcPr>
            <w:tcW w:w="211" w:type="pct"/>
          </w:tcPr>
          <w:p w14:paraId="4DF42406" w14:textId="77777777" w:rsidR="00F37970" w:rsidRPr="00C52026" w:rsidRDefault="00F37970" w:rsidP="00801A4A"/>
        </w:tc>
        <w:tc>
          <w:tcPr>
            <w:tcW w:w="566" w:type="pct"/>
          </w:tcPr>
          <w:p w14:paraId="2A16D36C" w14:textId="77777777" w:rsidR="00F37970" w:rsidRPr="00C52026" w:rsidRDefault="00F37970" w:rsidP="00801A4A"/>
        </w:tc>
        <w:tc>
          <w:tcPr>
            <w:tcW w:w="563" w:type="pct"/>
          </w:tcPr>
          <w:p w14:paraId="6C182984" w14:textId="77777777" w:rsidR="00F37970" w:rsidRPr="00C52026" w:rsidRDefault="00F37970" w:rsidP="00801A4A"/>
        </w:tc>
      </w:tr>
      <w:tr w:rsidR="00F37970" w:rsidRPr="00C52026" w14:paraId="3F69E09D" w14:textId="75FDB099" w:rsidTr="00F37970">
        <w:tc>
          <w:tcPr>
            <w:tcW w:w="3245" w:type="pct"/>
          </w:tcPr>
          <w:p w14:paraId="71F9DD2C" w14:textId="31FE8854" w:rsidR="00F37970" w:rsidRPr="00A718FD" w:rsidRDefault="00F37970" w:rsidP="00801A4A">
            <w:pPr>
              <w:spacing w:before="20" w:after="20"/>
              <w:ind w:right="70"/>
            </w:pPr>
            <w:r>
              <w:t>U</w:t>
            </w:r>
            <w:r w:rsidRPr="00A718FD">
              <w:t xml:space="preserve">n suivi </w:t>
            </w:r>
            <w:r>
              <w:t xml:space="preserve">des mesures correctives </w:t>
            </w:r>
            <w:r w:rsidRPr="00A718FD">
              <w:t>est assuré afin d’</w:t>
            </w:r>
            <w:r>
              <w:t xml:space="preserve">en </w:t>
            </w:r>
            <w:r w:rsidRPr="00A718FD">
              <w:t>évaluer les impacts et d’ajuster les interventions</w:t>
            </w:r>
          </w:p>
        </w:tc>
        <w:tc>
          <w:tcPr>
            <w:tcW w:w="196" w:type="pct"/>
          </w:tcPr>
          <w:p w14:paraId="19A6D26E" w14:textId="77777777" w:rsidR="00F37970" w:rsidRPr="00C52026" w:rsidRDefault="00F37970" w:rsidP="00801A4A"/>
        </w:tc>
        <w:tc>
          <w:tcPr>
            <w:tcW w:w="219" w:type="pct"/>
          </w:tcPr>
          <w:p w14:paraId="2FE379BD" w14:textId="77777777" w:rsidR="00F37970" w:rsidRPr="00C52026" w:rsidRDefault="00F37970" w:rsidP="00801A4A"/>
        </w:tc>
        <w:tc>
          <w:tcPr>
            <w:tcW w:w="211" w:type="pct"/>
          </w:tcPr>
          <w:p w14:paraId="44C20ED8" w14:textId="77777777" w:rsidR="00F37970" w:rsidRPr="00C52026" w:rsidRDefault="00F37970" w:rsidP="00801A4A"/>
        </w:tc>
        <w:tc>
          <w:tcPr>
            <w:tcW w:w="566" w:type="pct"/>
          </w:tcPr>
          <w:p w14:paraId="63C03D5F" w14:textId="77777777" w:rsidR="00F37970" w:rsidRPr="00C52026" w:rsidRDefault="00F37970" w:rsidP="00801A4A"/>
        </w:tc>
        <w:tc>
          <w:tcPr>
            <w:tcW w:w="563" w:type="pct"/>
          </w:tcPr>
          <w:p w14:paraId="206CE355" w14:textId="77777777" w:rsidR="00F37970" w:rsidRPr="00C52026" w:rsidRDefault="00F37970" w:rsidP="00801A4A"/>
        </w:tc>
      </w:tr>
      <w:tr w:rsidR="00F37970" w:rsidRPr="00C52026" w14:paraId="3102DFFB" w14:textId="0C59F033" w:rsidTr="00F37970">
        <w:tc>
          <w:tcPr>
            <w:tcW w:w="3245" w:type="pct"/>
          </w:tcPr>
          <w:p w14:paraId="5E38C138" w14:textId="77777777" w:rsidR="00F37970" w:rsidRPr="00A718FD" w:rsidRDefault="00F37970" w:rsidP="00801A4A">
            <w:pPr>
              <w:spacing w:before="20" w:after="20"/>
              <w:ind w:right="70"/>
            </w:pPr>
            <w:r>
              <w:t>Des mesures de protection</w:t>
            </w:r>
            <w:r w:rsidRPr="00A718FD">
              <w:t xml:space="preserve"> sont documentées telles :</w:t>
            </w:r>
          </w:p>
          <w:p w14:paraId="42596B98" w14:textId="77777777" w:rsidR="00F37970" w:rsidRPr="00A718FD" w:rsidRDefault="00F37970" w:rsidP="00A920CA">
            <w:pPr>
              <w:pStyle w:val="Paragraphedeliste"/>
              <w:numPr>
                <w:ilvl w:val="0"/>
                <w:numId w:val="9"/>
              </w:numPr>
              <w:spacing w:before="20" w:after="20"/>
              <w:ind w:left="798" w:right="70" w:hanging="438"/>
            </w:pPr>
            <w:proofErr w:type="gramStart"/>
            <w:r w:rsidRPr="00A718FD">
              <w:t>d</w:t>
            </w:r>
            <w:r w:rsidRPr="008F0297">
              <w:t>es</w:t>
            </w:r>
            <w:proofErr w:type="gramEnd"/>
            <w:r w:rsidRPr="008F0297">
              <w:t xml:space="preserve"> sessions de formation et d’information </w:t>
            </w:r>
            <w:r w:rsidRPr="00A718FD">
              <w:t xml:space="preserve">aux travailleurs </w:t>
            </w:r>
            <w:r w:rsidRPr="008F0297">
              <w:t xml:space="preserve">sur la prévention de la santé </w:t>
            </w:r>
            <w:r w:rsidRPr="00A718FD">
              <w:t>psychologique</w:t>
            </w:r>
          </w:p>
          <w:p w14:paraId="7B816F6C" w14:textId="77777777" w:rsidR="00F37970" w:rsidRPr="00A718FD" w:rsidRDefault="00F37970" w:rsidP="00A920CA">
            <w:pPr>
              <w:pStyle w:val="Paragraphedeliste"/>
              <w:numPr>
                <w:ilvl w:val="0"/>
                <w:numId w:val="9"/>
              </w:numPr>
              <w:spacing w:before="20" w:after="20"/>
              <w:ind w:left="798" w:right="70" w:hanging="438"/>
            </w:pPr>
            <w:proofErr w:type="gramStart"/>
            <w:r w:rsidRPr="00A718FD">
              <w:t>formation</w:t>
            </w:r>
            <w:proofErr w:type="gramEnd"/>
            <w:r w:rsidRPr="00A718FD">
              <w:t xml:space="preserve"> des gestionnaires sur la détresse psychologique</w:t>
            </w:r>
          </w:p>
          <w:p w14:paraId="195D9583" w14:textId="77777777" w:rsidR="00F37970" w:rsidRDefault="00F37970" w:rsidP="00A920CA">
            <w:pPr>
              <w:pStyle w:val="Paragraphedeliste"/>
              <w:numPr>
                <w:ilvl w:val="0"/>
                <w:numId w:val="9"/>
              </w:numPr>
              <w:spacing w:before="20" w:after="20"/>
              <w:ind w:left="798" w:right="70" w:hanging="438"/>
            </w:pPr>
            <w:proofErr w:type="gramStart"/>
            <w:r w:rsidRPr="00A718FD">
              <w:t>politique</w:t>
            </w:r>
            <w:proofErr w:type="gramEnd"/>
            <w:r w:rsidRPr="00A718FD">
              <w:t xml:space="preserve"> sur la prévention et la gestion des conflits</w:t>
            </w:r>
          </w:p>
          <w:p w14:paraId="0E3D4337" w14:textId="363D8042" w:rsidR="00F37970" w:rsidRDefault="00F37970" w:rsidP="00A920CA">
            <w:pPr>
              <w:pStyle w:val="Paragraphedeliste"/>
              <w:numPr>
                <w:ilvl w:val="0"/>
                <w:numId w:val="9"/>
              </w:numPr>
              <w:spacing w:before="20" w:after="20"/>
              <w:ind w:left="798" w:right="70" w:hanging="438"/>
            </w:pPr>
            <w:r w:rsidRPr="00A718FD">
              <w:t>formation des gestionnaires sur la gestion des conflits</w:t>
            </w:r>
          </w:p>
        </w:tc>
        <w:tc>
          <w:tcPr>
            <w:tcW w:w="196" w:type="pct"/>
          </w:tcPr>
          <w:p w14:paraId="5F485C89" w14:textId="77777777" w:rsidR="00F37970" w:rsidRPr="00C52026" w:rsidRDefault="00F37970" w:rsidP="00801A4A"/>
        </w:tc>
        <w:tc>
          <w:tcPr>
            <w:tcW w:w="219" w:type="pct"/>
          </w:tcPr>
          <w:p w14:paraId="7612DF83" w14:textId="77777777" w:rsidR="00F37970" w:rsidRPr="00C52026" w:rsidRDefault="00F37970" w:rsidP="00801A4A"/>
        </w:tc>
        <w:tc>
          <w:tcPr>
            <w:tcW w:w="211" w:type="pct"/>
          </w:tcPr>
          <w:p w14:paraId="4D15AC6F" w14:textId="77777777" w:rsidR="00F37970" w:rsidRPr="00C52026" w:rsidRDefault="00F37970" w:rsidP="00801A4A"/>
        </w:tc>
        <w:tc>
          <w:tcPr>
            <w:tcW w:w="566" w:type="pct"/>
          </w:tcPr>
          <w:p w14:paraId="5385044D" w14:textId="77777777" w:rsidR="00F37970" w:rsidRPr="00C52026" w:rsidRDefault="00F37970" w:rsidP="00801A4A"/>
        </w:tc>
        <w:tc>
          <w:tcPr>
            <w:tcW w:w="563" w:type="pct"/>
          </w:tcPr>
          <w:p w14:paraId="71609078" w14:textId="77777777" w:rsidR="00F37970" w:rsidRPr="00C52026" w:rsidRDefault="00F37970" w:rsidP="00801A4A"/>
        </w:tc>
      </w:tr>
      <w:tr w:rsidR="00F37970" w:rsidRPr="00C52026" w14:paraId="47C6590B" w14:textId="2093316C" w:rsidTr="00F37970">
        <w:tc>
          <w:tcPr>
            <w:tcW w:w="3245" w:type="pct"/>
          </w:tcPr>
          <w:p w14:paraId="4A94E3E1" w14:textId="41792007" w:rsidR="00F37970" w:rsidRPr="00A718FD" w:rsidRDefault="00F37970" w:rsidP="000C05AC">
            <w:pPr>
              <w:spacing w:before="20" w:after="20"/>
              <w:ind w:right="70"/>
            </w:pPr>
            <w:r w:rsidRPr="000C05AC">
              <w:rPr>
                <w:rFonts w:cs="Arial"/>
                <w:bCs/>
              </w:rPr>
              <w:t>Des mesures pour le traitement, la récupération et la réintégration au travail des personnes atteintes sont documentées tel un programme d’aide aux employés</w:t>
            </w:r>
          </w:p>
        </w:tc>
        <w:tc>
          <w:tcPr>
            <w:tcW w:w="196" w:type="pct"/>
          </w:tcPr>
          <w:p w14:paraId="4CF7055B" w14:textId="77777777" w:rsidR="00F37970" w:rsidRPr="00C52026" w:rsidRDefault="00F37970" w:rsidP="00801A4A"/>
        </w:tc>
        <w:tc>
          <w:tcPr>
            <w:tcW w:w="219" w:type="pct"/>
          </w:tcPr>
          <w:p w14:paraId="3B954D00" w14:textId="77777777" w:rsidR="00F37970" w:rsidRPr="00C52026" w:rsidRDefault="00F37970" w:rsidP="00801A4A"/>
        </w:tc>
        <w:tc>
          <w:tcPr>
            <w:tcW w:w="211" w:type="pct"/>
          </w:tcPr>
          <w:p w14:paraId="69B7C3C7" w14:textId="77777777" w:rsidR="00F37970" w:rsidRPr="00C52026" w:rsidRDefault="00F37970" w:rsidP="00801A4A"/>
        </w:tc>
        <w:tc>
          <w:tcPr>
            <w:tcW w:w="566" w:type="pct"/>
          </w:tcPr>
          <w:p w14:paraId="49DE8DC6" w14:textId="77777777" w:rsidR="00F37970" w:rsidRPr="00C52026" w:rsidRDefault="00F37970" w:rsidP="00801A4A"/>
        </w:tc>
        <w:tc>
          <w:tcPr>
            <w:tcW w:w="563" w:type="pct"/>
          </w:tcPr>
          <w:p w14:paraId="49DBD061" w14:textId="77777777" w:rsidR="00F37970" w:rsidRPr="00C52026" w:rsidRDefault="00F37970" w:rsidP="00801A4A"/>
        </w:tc>
      </w:tr>
      <w:tr w:rsidR="00F37970" w:rsidRPr="00C52026" w14:paraId="769B1FB5" w14:textId="10D5F268" w:rsidTr="00F37970">
        <w:tc>
          <w:tcPr>
            <w:tcW w:w="3245" w:type="pct"/>
          </w:tcPr>
          <w:p w14:paraId="1198DC5E" w14:textId="3351176C" w:rsidR="00F37970" w:rsidRPr="008F0297" w:rsidRDefault="00F37970" w:rsidP="00801A4A">
            <w:pPr>
              <w:spacing w:before="20" w:after="20"/>
              <w:ind w:right="70"/>
              <w:rPr>
                <w:rFonts w:cs="Arial"/>
              </w:rPr>
            </w:pPr>
            <w:r w:rsidRPr="00A718FD">
              <w:t xml:space="preserve">Le programme d’aide aux employés est accessible gratuitement pour l’ensemble des travailleurs, et ce, 7 jours sur 7 </w:t>
            </w:r>
          </w:p>
        </w:tc>
        <w:tc>
          <w:tcPr>
            <w:tcW w:w="196" w:type="pct"/>
          </w:tcPr>
          <w:p w14:paraId="304ABC5E" w14:textId="77777777" w:rsidR="00F37970" w:rsidRPr="00C52026" w:rsidRDefault="00F37970" w:rsidP="00801A4A"/>
        </w:tc>
        <w:tc>
          <w:tcPr>
            <w:tcW w:w="219" w:type="pct"/>
          </w:tcPr>
          <w:p w14:paraId="3E294128" w14:textId="77777777" w:rsidR="00F37970" w:rsidRPr="00C52026" w:rsidRDefault="00F37970" w:rsidP="00801A4A"/>
        </w:tc>
        <w:tc>
          <w:tcPr>
            <w:tcW w:w="211" w:type="pct"/>
          </w:tcPr>
          <w:p w14:paraId="4FB581A8" w14:textId="77777777" w:rsidR="00F37970" w:rsidRPr="00C52026" w:rsidRDefault="00F37970" w:rsidP="00801A4A"/>
        </w:tc>
        <w:tc>
          <w:tcPr>
            <w:tcW w:w="566" w:type="pct"/>
          </w:tcPr>
          <w:p w14:paraId="013BF9FA" w14:textId="77777777" w:rsidR="00F37970" w:rsidRPr="00C52026" w:rsidRDefault="00F37970" w:rsidP="00801A4A"/>
        </w:tc>
        <w:tc>
          <w:tcPr>
            <w:tcW w:w="563" w:type="pct"/>
          </w:tcPr>
          <w:p w14:paraId="7AC13919" w14:textId="77777777" w:rsidR="00F37970" w:rsidRPr="00C52026" w:rsidRDefault="00F37970" w:rsidP="00801A4A"/>
        </w:tc>
      </w:tr>
      <w:tr w:rsidR="00F37970" w:rsidRPr="00C52026" w14:paraId="342CE1FF" w14:textId="61B8728F" w:rsidTr="00F37970">
        <w:tc>
          <w:tcPr>
            <w:tcW w:w="3245" w:type="pct"/>
          </w:tcPr>
          <w:p w14:paraId="628F1A01" w14:textId="1430AEBE" w:rsidR="00F37970" w:rsidRPr="00A718FD" w:rsidRDefault="00F37970" w:rsidP="00801A4A">
            <w:pPr>
              <w:spacing w:before="20" w:after="20"/>
              <w:ind w:right="70"/>
            </w:pPr>
            <w:r w:rsidRPr="00A718FD">
              <w:t>Le contrat prévoit un nombre de rencontres gratuites annuellement pour chaque employé </w:t>
            </w:r>
          </w:p>
        </w:tc>
        <w:tc>
          <w:tcPr>
            <w:tcW w:w="196" w:type="pct"/>
          </w:tcPr>
          <w:p w14:paraId="26E573ED" w14:textId="77777777" w:rsidR="00F37970" w:rsidRPr="00C52026" w:rsidRDefault="00F37970" w:rsidP="00801A4A"/>
        </w:tc>
        <w:tc>
          <w:tcPr>
            <w:tcW w:w="219" w:type="pct"/>
          </w:tcPr>
          <w:p w14:paraId="4B9D2396" w14:textId="77777777" w:rsidR="00F37970" w:rsidRPr="00C52026" w:rsidRDefault="00F37970" w:rsidP="00801A4A"/>
        </w:tc>
        <w:tc>
          <w:tcPr>
            <w:tcW w:w="211" w:type="pct"/>
          </w:tcPr>
          <w:p w14:paraId="666B1F2F" w14:textId="77777777" w:rsidR="00F37970" w:rsidRPr="00C52026" w:rsidRDefault="00F37970" w:rsidP="00801A4A"/>
        </w:tc>
        <w:tc>
          <w:tcPr>
            <w:tcW w:w="566" w:type="pct"/>
          </w:tcPr>
          <w:p w14:paraId="36984B48" w14:textId="77777777" w:rsidR="00F37970" w:rsidRPr="00C52026" w:rsidRDefault="00F37970" w:rsidP="00801A4A"/>
        </w:tc>
        <w:tc>
          <w:tcPr>
            <w:tcW w:w="563" w:type="pct"/>
          </w:tcPr>
          <w:p w14:paraId="7C0FC92A" w14:textId="77777777" w:rsidR="00F37970" w:rsidRPr="00C52026" w:rsidRDefault="00F37970" w:rsidP="00801A4A"/>
        </w:tc>
      </w:tr>
      <w:tr w:rsidR="00F37970" w:rsidRPr="00C52026" w14:paraId="639D29D3" w14:textId="04A53BB5" w:rsidTr="00F37970">
        <w:tc>
          <w:tcPr>
            <w:tcW w:w="3245" w:type="pct"/>
          </w:tcPr>
          <w:p w14:paraId="7E72A84D" w14:textId="34AFDEA0" w:rsidR="00F37970" w:rsidRPr="00A718FD" w:rsidRDefault="00F37970" w:rsidP="00801A4A">
            <w:pPr>
              <w:spacing w:before="20" w:after="20"/>
              <w:ind w:right="70"/>
            </w:pPr>
            <w:r w:rsidRPr="00A718FD">
              <w:t>Le contrat précise les motifs de consultation</w:t>
            </w:r>
          </w:p>
        </w:tc>
        <w:tc>
          <w:tcPr>
            <w:tcW w:w="196" w:type="pct"/>
          </w:tcPr>
          <w:p w14:paraId="0FAF8105" w14:textId="77777777" w:rsidR="00F37970" w:rsidRPr="00C52026" w:rsidRDefault="00F37970" w:rsidP="00801A4A"/>
        </w:tc>
        <w:tc>
          <w:tcPr>
            <w:tcW w:w="219" w:type="pct"/>
          </w:tcPr>
          <w:p w14:paraId="5AF557C9" w14:textId="77777777" w:rsidR="00F37970" w:rsidRPr="00C52026" w:rsidRDefault="00F37970" w:rsidP="00801A4A"/>
        </w:tc>
        <w:tc>
          <w:tcPr>
            <w:tcW w:w="211" w:type="pct"/>
          </w:tcPr>
          <w:p w14:paraId="113591FD" w14:textId="77777777" w:rsidR="00F37970" w:rsidRPr="00C52026" w:rsidRDefault="00F37970" w:rsidP="00801A4A"/>
        </w:tc>
        <w:tc>
          <w:tcPr>
            <w:tcW w:w="566" w:type="pct"/>
          </w:tcPr>
          <w:p w14:paraId="4F2E53D4" w14:textId="77777777" w:rsidR="00F37970" w:rsidRPr="00C52026" w:rsidRDefault="00F37970" w:rsidP="00801A4A"/>
        </w:tc>
        <w:tc>
          <w:tcPr>
            <w:tcW w:w="563" w:type="pct"/>
          </w:tcPr>
          <w:p w14:paraId="51F05483" w14:textId="77777777" w:rsidR="00F37970" w:rsidRPr="00C52026" w:rsidRDefault="00F37970" w:rsidP="00801A4A"/>
        </w:tc>
      </w:tr>
      <w:tr w:rsidR="00F37970" w:rsidRPr="00C52026" w14:paraId="4030A38E" w14:textId="0BE7038E" w:rsidTr="00F37970">
        <w:tc>
          <w:tcPr>
            <w:tcW w:w="3245" w:type="pct"/>
          </w:tcPr>
          <w:p w14:paraId="4CBA80CB" w14:textId="467DE34A" w:rsidR="00F37970" w:rsidRPr="00A718FD" w:rsidRDefault="00F37970" w:rsidP="00801A4A">
            <w:pPr>
              <w:spacing w:before="20" w:after="20"/>
              <w:ind w:right="70"/>
            </w:pPr>
            <w:r w:rsidRPr="00A718FD">
              <w:t>Le service peut répondre aux demandes dans les 48 heures et si urgence, dans les 24 heures</w:t>
            </w:r>
          </w:p>
        </w:tc>
        <w:tc>
          <w:tcPr>
            <w:tcW w:w="196" w:type="pct"/>
          </w:tcPr>
          <w:p w14:paraId="29EBB76D" w14:textId="77777777" w:rsidR="00F37970" w:rsidRPr="00C52026" w:rsidRDefault="00F37970" w:rsidP="00801A4A"/>
        </w:tc>
        <w:tc>
          <w:tcPr>
            <w:tcW w:w="219" w:type="pct"/>
          </w:tcPr>
          <w:p w14:paraId="52E8959B" w14:textId="77777777" w:rsidR="00F37970" w:rsidRPr="00C52026" w:rsidRDefault="00F37970" w:rsidP="00801A4A"/>
        </w:tc>
        <w:tc>
          <w:tcPr>
            <w:tcW w:w="211" w:type="pct"/>
          </w:tcPr>
          <w:p w14:paraId="3FC04050" w14:textId="77777777" w:rsidR="00F37970" w:rsidRPr="00C52026" w:rsidRDefault="00F37970" w:rsidP="00801A4A"/>
        </w:tc>
        <w:tc>
          <w:tcPr>
            <w:tcW w:w="566" w:type="pct"/>
          </w:tcPr>
          <w:p w14:paraId="4D701135" w14:textId="77777777" w:rsidR="00F37970" w:rsidRPr="00C52026" w:rsidRDefault="00F37970" w:rsidP="00801A4A"/>
        </w:tc>
        <w:tc>
          <w:tcPr>
            <w:tcW w:w="563" w:type="pct"/>
          </w:tcPr>
          <w:p w14:paraId="38800985" w14:textId="77777777" w:rsidR="00F37970" w:rsidRPr="00C52026" w:rsidRDefault="00F37970" w:rsidP="00801A4A"/>
        </w:tc>
      </w:tr>
      <w:tr w:rsidR="00F37970" w:rsidRPr="00C52026" w14:paraId="4D211231" w14:textId="22FA103B" w:rsidTr="00F37970">
        <w:tc>
          <w:tcPr>
            <w:tcW w:w="3245" w:type="pct"/>
          </w:tcPr>
          <w:p w14:paraId="58F8A2B3" w14:textId="275ED094" w:rsidR="00F37970" w:rsidRPr="00A718FD" w:rsidRDefault="00F37970" w:rsidP="00801A4A">
            <w:pPr>
              <w:spacing w:before="20" w:after="20"/>
              <w:ind w:right="70"/>
            </w:pPr>
            <w:r w:rsidRPr="00A718FD">
              <w:lastRenderedPageBreak/>
              <w:t>Le PAE offre des services de débriefing et de suivi post-traumatique</w:t>
            </w:r>
          </w:p>
        </w:tc>
        <w:tc>
          <w:tcPr>
            <w:tcW w:w="196" w:type="pct"/>
          </w:tcPr>
          <w:p w14:paraId="5586958D" w14:textId="77777777" w:rsidR="00F37970" w:rsidRPr="00C52026" w:rsidRDefault="00F37970" w:rsidP="00801A4A"/>
        </w:tc>
        <w:tc>
          <w:tcPr>
            <w:tcW w:w="219" w:type="pct"/>
          </w:tcPr>
          <w:p w14:paraId="27242AF9" w14:textId="77777777" w:rsidR="00F37970" w:rsidRPr="00C52026" w:rsidRDefault="00F37970" w:rsidP="00801A4A"/>
        </w:tc>
        <w:tc>
          <w:tcPr>
            <w:tcW w:w="211" w:type="pct"/>
          </w:tcPr>
          <w:p w14:paraId="319169C0" w14:textId="77777777" w:rsidR="00F37970" w:rsidRPr="00C52026" w:rsidRDefault="00F37970" w:rsidP="00801A4A"/>
        </w:tc>
        <w:tc>
          <w:tcPr>
            <w:tcW w:w="566" w:type="pct"/>
          </w:tcPr>
          <w:p w14:paraId="3292B5AE" w14:textId="77777777" w:rsidR="00F37970" w:rsidRPr="00C52026" w:rsidRDefault="00F37970" w:rsidP="00801A4A"/>
        </w:tc>
        <w:tc>
          <w:tcPr>
            <w:tcW w:w="563" w:type="pct"/>
          </w:tcPr>
          <w:p w14:paraId="6E4D63E6" w14:textId="77777777" w:rsidR="00F37970" w:rsidRPr="00C52026" w:rsidRDefault="00F37970" w:rsidP="00801A4A"/>
        </w:tc>
      </w:tr>
      <w:tr w:rsidR="00F37970" w:rsidRPr="00C52026" w14:paraId="44CFCCEE" w14:textId="29FE5ECD" w:rsidTr="00F37970">
        <w:tc>
          <w:tcPr>
            <w:tcW w:w="3245" w:type="pct"/>
          </w:tcPr>
          <w:p w14:paraId="0BB36FBE" w14:textId="4084A287" w:rsidR="00F37970" w:rsidRPr="00A718FD" w:rsidRDefault="00F37970" w:rsidP="00801A4A">
            <w:pPr>
              <w:spacing w:before="20" w:after="20"/>
              <w:ind w:right="70"/>
            </w:pPr>
            <w:r w:rsidRPr="00A718FD">
              <w:t>Le service assure l’anonymat des personnes qui consultent</w:t>
            </w:r>
          </w:p>
        </w:tc>
        <w:tc>
          <w:tcPr>
            <w:tcW w:w="196" w:type="pct"/>
          </w:tcPr>
          <w:p w14:paraId="7DD286B0" w14:textId="77777777" w:rsidR="00F37970" w:rsidRPr="00C52026" w:rsidRDefault="00F37970" w:rsidP="00801A4A"/>
        </w:tc>
        <w:tc>
          <w:tcPr>
            <w:tcW w:w="219" w:type="pct"/>
          </w:tcPr>
          <w:p w14:paraId="108616C3" w14:textId="77777777" w:rsidR="00F37970" w:rsidRPr="00C52026" w:rsidRDefault="00F37970" w:rsidP="00801A4A"/>
        </w:tc>
        <w:tc>
          <w:tcPr>
            <w:tcW w:w="211" w:type="pct"/>
          </w:tcPr>
          <w:p w14:paraId="0323DE08" w14:textId="77777777" w:rsidR="00F37970" w:rsidRPr="00C52026" w:rsidRDefault="00F37970" w:rsidP="00801A4A"/>
        </w:tc>
        <w:tc>
          <w:tcPr>
            <w:tcW w:w="566" w:type="pct"/>
          </w:tcPr>
          <w:p w14:paraId="12098C4F" w14:textId="77777777" w:rsidR="00F37970" w:rsidRPr="00C52026" w:rsidRDefault="00F37970" w:rsidP="00801A4A"/>
        </w:tc>
        <w:tc>
          <w:tcPr>
            <w:tcW w:w="563" w:type="pct"/>
          </w:tcPr>
          <w:p w14:paraId="1E8795D9" w14:textId="77777777" w:rsidR="00F37970" w:rsidRPr="00C52026" w:rsidRDefault="00F37970" w:rsidP="00801A4A"/>
        </w:tc>
      </w:tr>
      <w:tr w:rsidR="00F37970" w:rsidRPr="00C52026" w14:paraId="5720E854" w14:textId="528C6239" w:rsidTr="00F37970">
        <w:tc>
          <w:tcPr>
            <w:tcW w:w="3245" w:type="pct"/>
          </w:tcPr>
          <w:p w14:paraId="37A8C033" w14:textId="502A6E4F" w:rsidR="00F37970" w:rsidRPr="00A718FD" w:rsidRDefault="00F37970" w:rsidP="00801A4A">
            <w:pPr>
              <w:spacing w:before="20" w:after="20"/>
              <w:ind w:right="70"/>
            </w:pPr>
            <w:r w:rsidRPr="00A718FD">
              <w:t>Des statistiques sont disponibles permettant d’analyser les données de consultation</w:t>
            </w:r>
          </w:p>
        </w:tc>
        <w:tc>
          <w:tcPr>
            <w:tcW w:w="196" w:type="pct"/>
          </w:tcPr>
          <w:p w14:paraId="5FE23DEA" w14:textId="77777777" w:rsidR="00F37970" w:rsidRPr="00C52026" w:rsidRDefault="00F37970" w:rsidP="00801A4A"/>
        </w:tc>
        <w:tc>
          <w:tcPr>
            <w:tcW w:w="219" w:type="pct"/>
          </w:tcPr>
          <w:p w14:paraId="056E2E9A" w14:textId="77777777" w:rsidR="00F37970" w:rsidRPr="00C52026" w:rsidRDefault="00F37970" w:rsidP="00801A4A"/>
        </w:tc>
        <w:tc>
          <w:tcPr>
            <w:tcW w:w="211" w:type="pct"/>
          </w:tcPr>
          <w:p w14:paraId="6EFE6F55" w14:textId="77777777" w:rsidR="00F37970" w:rsidRPr="00C52026" w:rsidRDefault="00F37970" w:rsidP="00801A4A"/>
        </w:tc>
        <w:tc>
          <w:tcPr>
            <w:tcW w:w="566" w:type="pct"/>
          </w:tcPr>
          <w:p w14:paraId="32020238" w14:textId="77777777" w:rsidR="00F37970" w:rsidRPr="00C52026" w:rsidRDefault="00F37970" w:rsidP="00801A4A"/>
        </w:tc>
        <w:tc>
          <w:tcPr>
            <w:tcW w:w="563" w:type="pct"/>
          </w:tcPr>
          <w:p w14:paraId="6EA10DFB" w14:textId="77777777" w:rsidR="00F37970" w:rsidRPr="00C52026" w:rsidRDefault="00F37970" w:rsidP="00801A4A"/>
        </w:tc>
      </w:tr>
      <w:tr w:rsidR="00F37970" w:rsidRPr="00C52026" w14:paraId="62C9A25A" w14:textId="33A237E4" w:rsidTr="00F37970">
        <w:tc>
          <w:tcPr>
            <w:tcW w:w="3245" w:type="pct"/>
          </w:tcPr>
          <w:p w14:paraId="719FD633" w14:textId="7432C8A1" w:rsidR="00F37970" w:rsidRPr="00A718FD" w:rsidRDefault="00F37970" w:rsidP="00801A4A">
            <w:pPr>
              <w:spacing w:before="20" w:after="20"/>
              <w:ind w:right="70"/>
            </w:pPr>
            <w:r w:rsidRPr="00A718FD">
              <w:t>L’évaluation des services est faite par sondage auprès de l’ensemble des travailleurs avant le renouvellement du contrat</w:t>
            </w:r>
          </w:p>
        </w:tc>
        <w:tc>
          <w:tcPr>
            <w:tcW w:w="196" w:type="pct"/>
          </w:tcPr>
          <w:p w14:paraId="1BE94CEE" w14:textId="77777777" w:rsidR="00F37970" w:rsidRPr="00C52026" w:rsidRDefault="00F37970" w:rsidP="00801A4A"/>
        </w:tc>
        <w:tc>
          <w:tcPr>
            <w:tcW w:w="219" w:type="pct"/>
          </w:tcPr>
          <w:p w14:paraId="6038F73D" w14:textId="77777777" w:rsidR="00F37970" w:rsidRPr="00C52026" w:rsidRDefault="00F37970" w:rsidP="00801A4A"/>
        </w:tc>
        <w:tc>
          <w:tcPr>
            <w:tcW w:w="211" w:type="pct"/>
          </w:tcPr>
          <w:p w14:paraId="0471C285" w14:textId="77777777" w:rsidR="00F37970" w:rsidRPr="00C52026" w:rsidRDefault="00F37970" w:rsidP="00801A4A"/>
        </w:tc>
        <w:tc>
          <w:tcPr>
            <w:tcW w:w="566" w:type="pct"/>
          </w:tcPr>
          <w:p w14:paraId="1B401640" w14:textId="77777777" w:rsidR="00F37970" w:rsidRPr="00C52026" w:rsidRDefault="00F37970" w:rsidP="00801A4A"/>
        </w:tc>
        <w:tc>
          <w:tcPr>
            <w:tcW w:w="563" w:type="pct"/>
          </w:tcPr>
          <w:p w14:paraId="7146FA45" w14:textId="77777777" w:rsidR="00F37970" w:rsidRPr="00C52026" w:rsidRDefault="00F37970" w:rsidP="00801A4A"/>
        </w:tc>
      </w:tr>
      <w:tr w:rsidR="00F37970" w:rsidRPr="00C52026" w14:paraId="7EFC4102" w14:textId="4AFC1E1B" w:rsidTr="00F37970">
        <w:tc>
          <w:tcPr>
            <w:tcW w:w="3245" w:type="pct"/>
          </w:tcPr>
          <w:p w14:paraId="18CE6FF0" w14:textId="21F851FF" w:rsidR="00F37970" w:rsidRPr="00A718FD" w:rsidRDefault="00F37970" w:rsidP="00801A4A">
            <w:pPr>
              <w:spacing w:before="20" w:after="20"/>
              <w:ind w:right="70"/>
            </w:pPr>
            <w:r w:rsidRPr="00A718FD">
              <w:t>Un comité de suivi supervise le fonctionnement et la satisfaction du service</w:t>
            </w:r>
          </w:p>
        </w:tc>
        <w:tc>
          <w:tcPr>
            <w:tcW w:w="196" w:type="pct"/>
          </w:tcPr>
          <w:p w14:paraId="42A90F7F" w14:textId="77777777" w:rsidR="00F37970" w:rsidRPr="00C52026" w:rsidRDefault="00F37970" w:rsidP="00801A4A"/>
        </w:tc>
        <w:tc>
          <w:tcPr>
            <w:tcW w:w="219" w:type="pct"/>
          </w:tcPr>
          <w:p w14:paraId="6AC455A6" w14:textId="77777777" w:rsidR="00F37970" w:rsidRPr="00C52026" w:rsidRDefault="00F37970" w:rsidP="00801A4A"/>
        </w:tc>
        <w:tc>
          <w:tcPr>
            <w:tcW w:w="211" w:type="pct"/>
          </w:tcPr>
          <w:p w14:paraId="0916AB55" w14:textId="77777777" w:rsidR="00F37970" w:rsidRPr="00C52026" w:rsidRDefault="00F37970" w:rsidP="00801A4A"/>
        </w:tc>
        <w:tc>
          <w:tcPr>
            <w:tcW w:w="566" w:type="pct"/>
          </w:tcPr>
          <w:p w14:paraId="45B79041" w14:textId="77777777" w:rsidR="00F37970" w:rsidRPr="00C52026" w:rsidRDefault="00F37970" w:rsidP="00801A4A"/>
        </w:tc>
        <w:tc>
          <w:tcPr>
            <w:tcW w:w="563" w:type="pct"/>
          </w:tcPr>
          <w:p w14:paraId="451BC128" w14:textId="77777777" w:rsidR="00F37970" w:rsidRPr="00C52026" w:rsidRDefault="00F37970" w:rsidP="00801A4A"/>
        </w:tc>
      </w:tr>
      <w:tr w:rsidR="00F37970" w:rsidRPr="00C52026" w14:paraId="42EE1F9C" w14:textId="54CE0315" w:rsidTr="00F37970">
        <w:tc>
          <w:tcPr>
            <w:tcW w:w="3245" w:type="pct"/>
          </w:tcPr>
          <w:p w14:paraId="6A12C82F" w14:textId="2069455D" w:rsidR="00F37970" w:rsidRPr="00A718FD" w:rsidRDefault="00F37970" w:rsidP="00801A4A">
            <w:pPr>
              <w:spacing w:before="20" w:after="20"/>
              <w:ind w:right="70"/>
            </w:pPr>
            <w:r w:rsidRPr="00A718FD">
              <w:t>Une politique sur la prévention du harcèlement et la gestion des plaintes est documentée</w:t>
            </w:r>
          </w:p>
        </w:tc>
        <w:tc>
          <w:tcPr>
            <w:tcW w:w="196" w:type="pct"/>
          </w:tcPr>
          <w:p w14:paraId="6D96A02B" w14:textId="77777777" w:rsidR="00F37970" w:rsidRPr="00C52026" w:rsidRDefault="00F37970" w:rsidP="00801A4A"/>
        </w:tc>
        <w:tc>
          <w:tcPr>
            <w:tcW w:w="219" w:type="pct"/>
          </w:tcPr>
          <w:p w14:paraId="468B7D71" w14:textId="77777777" w:rsidR="00F37970" w:rsidRPr="00C52026" w:rsidRDefault="00F37970" w:rsidP="00801A4A"/>
        </w:tc>
        <w:tc>
          <w:tcPr>
            <w:tcW w:w="211" w:type="pct"/>
          </w:tcPr>
          <w:p w14:paraId="70584093" w14:textId="77777777" w:rsidR="00F37970" w:rsidRPr="00C52026" w:rsidRDefault="00F37970" w:rsidP="00801A4A"/>
        </w:tc>
        <w:tc>
          <w:tcPr>
            <w:tcW w:w="566" w:type="pct"/>
          </w:tcPr>
          <w:p w14:paraId="04B23028" w14:textId="77777777" w:rsidR="00F37970" w:rsidRPr="00C52026" w:rsidRDefault="00F37970" w:rsidP="00801A4A"/>
        </w:tc>
        <w:tc>
          <w:tcPr>
            <w:tcW w:w="563" w:type="pct"/>
          </w:tcPr>
          <w:p w14:paraId="7E591783" w14:textId="77777777" w:rsidR="00F37970" w:rsidRPr="00C52026" w:rsidRDefault="00F37970" w:rsidP="00801A4A"/>
        </w:tc>
      </w:tr>
      <w:tr w:rsidR="00F37970" w:rsidRPr="00C52026" w14:paraId="35AEDE78" w14:textId="3AE80975" w:rsidTr="00F37970">
        <w:tc>
          <w:tcPr>
            <w:tcW w:w="3245" w:type="pct"/>
          </w:tcPr>
          <w:p w14:paraId="77951E26" w14:textId="0196C9FF" w:rsidR="00F37970" w:rsidRPr="00A718FD" w:rsidRDefault="00F37970" w:rsidP="00801A4A">
            <w:pPr>
              <w:spacing w:before="20" w:after="20"/>
              <w:ind w:right="70"/>
            </w:pPr>
            <w:r w:rsidRPr="00A718FD">
              <w:t>D</w:t>
            </w:r>
            <w:r>
              <w:rPr>
                <w:lang w:val="fr-FR"/>
              </w:rPr>
              <w:t>es moyens raisonnables</w:t>
            </w:r>
            <w:r w:rsidRPr="00A718FD">
              <w:rPr>
                <w:lang w:val="fr-FR"/>
              </w:rPr>
              <w:t xml:space="preserve"> permett</w:t>
            </w:r>
            <w:r>
              <w:rPr>
                <w:lang w:val="fr-FR"/>
              </w:rPr>
              <w:t>a</w:t>
            </w:r>
            <w:r w:rsidRPr="00A718FD">
              <w:rPr>
                <w:lang w:val="fr-FR"/>
              </w:rPr>
              <w:t>nt de prévenir les situations de harcèlement sont documentés</w:t>
            </w:r>
          </w:p>
        </w:tc>
        <w:tc>
          <w:tcPr>
            <w:tcW w:w="196" w:type="pct"/>
          </w:tcPr>
          <w:p w14:paraId="2EB29071" w14:textId="77777777" w:rsidR="00F37970" w:rsidRPr="00C52026" w:rsidRDefault="00F37970" w:rsidP="00801A4A"/>
        </w:tc>
        <w:tc>
          <w:tcPr>
            <w:tcW w:w="219" w:type="pct"/>
          </w:tcPr>
          <w:p w14:paraId="135C039D" w14:textId="77777777" w:rsidR="00F37970" w:rsidRPr="00C52026" w:rsidRDefault="00F37970" w:rsidP="00801A4A"/>
        </w:tc>
        <w:tc>
          <w:tcPr>
            <w:tcW w:w="211" w:type="pct"/>
          </w:tcPr>
          <w:p w14:paraId="4C03593A" w14:textId="77777777" w:rsidR="00F37970" w:rsidRPr="00C52026" w:rsidRDefault="00F37970" w:rsidP="00801A4A"/>
        </w:tc>
        <w:tc>
          <w:tcPr>
            <w:tcW w:w="566" w:type="pct"/>
          </w:tcPr>
          <w:p w14:paraId="3782F2F1" w14:textId="77777777" w:rsidR="00F37970" w:rsidRPr="00C52026" w:rsidRDefault="00F37970" w:rsidP="00801A4A"/>
        </w:tc>
        <w:tc>
          <w:tcPr>
            <w:tcW w:w="563" w:type="pct"/>
          </w:tcPr>
          <w:p w14:paraId="72BF938F" w14:textId="77777777" w:rsidR="00F37970" w:rsidRPr="00C52026" w:rsidRDefault="00F37970" w:rsidP="00801A4A"/>
        </w:tc>
      </w:tr>
      <w:tr w:rsidR="00F37970" w:rsidRPr="00C52026" w14:paraId="7251306C" w14:textId="3A8CCEC9" w:rsidTr="00F37970">
        <w:tc>
          <w:tcPr>
            <w:tcW w:w="3245" w:type="pct"/>
          </w:tcPr>
          <w:p w14:paraId="00CFE234" w14:textId="10CFDA83" w:rsidR="00F37970" w:rsidRPr="00A718FD" w:rsidRDefault="00F37970" w:rsidP="00801A4A">
            <w:pPr>
              <w:spacing w:before="20" w:after="20"/>
              <w:ind w:right="70"/>
            </w:pPr>
            <w:r w:rsidRPr="00A718FD">
              <w:t>Une personne responsable est identifiée pour le traitement et la gestion des plaintes de harcèlement</w:t>
            </w:r>
          </w:p>
        </w:tc>
        <w:tc>
          <w:tcPr>
            <w:tcW w:w="196" w:type="pct"/>
          </w:tcPr>
          <w:p w14:paraId="42259BF7" w14:textId="77777777" w:rsidR="00F37970" w:rsidRPr="00C52026" w:rsidRDefault="00F37970" w:rsidP="00801A4A"/>
        </w:tc>
        <w:tc>
          <w:tcPr>
            <w:tcW w:w="219" w:type="pct"/>
          </w:tcPr>
          <w:p w14:paraId="37DD199D" w14:textId="77777777" w:rsidR="00F37970" w:rsidRPr="00C52026" w:rsidRDefault="00F37970" w:rsidP="00801A4A"/>
        </w:tc>
        <w:tc>
          <w:tcPr>
            <w:tcW w:w="211" w:type="pct"/>
          </w:tcPr>
          <w:p w14:paraId="382C7AE5" w14:textId="77777777" w:rsidR="00F37970" w:rsidRPr="00C52026" w:rsidRDefault="00F37970" w:rsidP="00801A4A"/>
        </w:tc>
        <w:tc>
          <w:tcPr>
            <w:tcW w:w="566" w:type="pct"/>
          </w:tcPr>
          <w:p w14:paraId="1D737B62" w14:textId="77777777" w:rsidR="00F37970" w:rsidRPr="00C52026" w:rsidRDefault="00F37970" w:rsidP="00801A4A"/>
        </w:tc>
        <w:tc>
          <w:tcPr>
            <w:tcW w:w="563" w:type="pct"/>
          </w:tcPr>
          <w:p w14:paraId="46E5B5FB" w14:textId="77777777" w:rsidR="00F37970" w:rsidRPr="00C52026" w:rsidRDefault="00F37970" w:rsidP="00801A4A"/>
        </w:tc>
      </w:tr>
      <w:tr w:rsidR="00F37970" w:rsidRPr="00C52026" w14:paraId="4F22CCDB" w14:textId="75834A87" w:rsidTr="00F37970">
        <w:tc>
          <w:tcPr>
            <w:tcW w:w="3245" w:type="pct"/>
          </w:tcPr>
          <w:p w14:paraId="78949F7A" w14:textId="10FE80C7" w:rsidR="00F37970" w:rsidRPr="00A718FD" w:rsidRDefault="00F37970" w:rsidP="00801A4A">
            <w:pPr>
              <w:spacing w:before="20" w:after="20"/>
              <w:ind w:right="70"/>
            </w:pPr>
            <w:r w:rsidRPr="00A718FD">
              <w:rPr>
                <w:lang w:val="fr-FR"/>
              </w:rPr>
              <w:t>Des mesures appropriées sont documentées pour mettre fin au harcèlement dès qu’il est dénoncé, incluant les sanctions nécessaires au besoin</w:t>
            </w:r>
          </w:p>
        </w:tc>
        <w:tc>
          <w:tcPr>
            <w:tcW w:w="196" w:type="pct"/>
          </w:tcPr>
          <w:p w14:paraId="78B7096C" w14:textId="77777777" w:rsidR="00F37970" w:rsidRPr="00C52026" w:rsidRDefault="00F37970" w:rsidP="00801A4A"/>
        </w:tc>
        <w:tc>
          <w:tcPr>
            <w:tcW w:w="219" w:type="pct"/>
          </w:tcPr>
          <w:p w14:paraId="20F1690D" w14:textId="77777777" w:rsidR="00F37970" w:rsidRPr="00C52026" w:rsidRDefault="00F37970" w:rsidP="00801A4A"/>
        </w:tc>
        <w:tc>
          <w:tcPr>
            <w:tcW w:w="211" w:type="pct"/>
          </w:tcPr>
          <w:p w14:paraId="6857D217" w14:textId="77777777" w:rsidR="00F37970" w:rsidRPr="00C52026" w:rsidRDefault="00F37970" w:rsidP="00801A4A"/>
        </w:tc>
        <w:tc>
          <w:tcPr>
            <w:tcW w:w="566" w:type="pct"/>
          </w:tcPr>
          <w:p w14:paraId="0C23A94E" w14:textId="77777777" w:rsidR="00F37970" w:rsidRPr="00C52026" w:rsidRDefault="00F37970" w:rsidP="00801A4A"/>
        </w:tc>
        <w:tc>
          <w:tcPr>
            <w:tcW w:w="563" w:type="pct"/>
          </w:tcPr>
          <w:p w14:paraId="48CF0FE8" w14:textId="77777777" w:rsidR="00F37970" w:rsidRPr="00C52026" w:rsidRDefault="00F37970" w:rsidP="00801A4A"/>
        </w:tc>
      </w:tr>
      <w:tr w:rsidR="00F37970" w:rsidRPr="00C52026" w14:paraId="6707ED35" w14:textId="4AA222A7" w:rsidTr="00F37970">
        <w:tc>
          <w:tcPr>
            <w:tcW w:w="3245" w:type="pct"/>
          </w:tcPr>
          <w:p w14:paraId="30430852" w14:textId="0E9EFF37" w:rsidR="00F37970" w:rsidRPr="00A718FD" w:rsidRDefault="00F37970" w:rsidP="00801A4A">
            <w:pPr>
              <w:spacing w:before="20" w:after="20"/>
              <w:ind w:right="70"/>
            </w:pPr>
            <w:r w:rsidRPr="00A718FD">
              <w:t>Un suivi rigoureux du mécanisme de plainte est documenté afin de s’assurer qu’il respecte les droits de la victime et la règlementation en vigueur</w:t>
            </w:r>
          </w:p>
        </w:tc>
        <w:tc>
          <w:tcPr>
            <w:tcW w:w="196" w:type="pct"/>
          </w:tcPr>
          <w:p w14:paraId="16A303EA" w14:textId="77777777" w:rsidR="00F37970" w:rsidRPr="00C52026" w:rsidRDefault="00F37970" w:rsidP="00801A4A"/>
        </w:tc>
        <w:tc>
          <w:tcPr>
            <w:tcW w:w="219" w:type="pct"/>
          </w:tcPr>
          <w:p w14:paraId="06D9DE7C" w14:textId="77777777" w:rsidR="00F37970" w:rsidRPr="00C52026" w:rsidRDefault="00F37970" w:rsidP="00801A4A"/>
        </w:tc>
        <w:tc>
          <w:tcPr>
            <w:tcW w:w="211" w:type="pct"/>
          </w:tcPr>
          <w:p w14:paraId="6F38F08B" w14:textId="77777777" w:rsidR="00F37970" w:rsidRPr="00C52026" w:rsidRDefault="00F37970" w:rsidP="00801A4A"/>
        </w:tc>
        <w:tc>
          <w:tcPr>
            <w:tcW w:w="566" w:type="pct"/>
          </w:tcPr>
          <w:p w14:paraId="7670F8DB" w14:textId="77777777" w:rsidR="00F37970" w:rsidRPr="00C52026" w:rsidRDefault="00F37970" w:rsidP="00801A4A"/>
        </w:tc>
        <w:tc>
          <w:tcPr>
            <w:tcW w:w="563" w:type="pct"/>
          </w:tcPr>
          <w:p w14:paraId="491845AC" w14:textId="77777777" w:rsidR="00F37970" w:rsidRPr="00C52026" w:rsidRDefault="00F37970" w:rsidP="00801A4A"/>
        </w:tc>
      </w:tr>
    </w:tbl>
    <w:p w14:paraId="2F4E415F" w14:textId="77777777" w:rsidR="005D0574" w:rsidRPr="005D0574" w:rsidRDefault="005D0574" w:rsidP="008119D2"/>
    <w:sectPr w:rsidR="005D0574" w:rsidRPr="005D0574" w:rsidSect="00520713">
      <w:headerReference w:type="default" r:id="rId8"/>
      <w:footerReference w:type="default" r:id="rId9"/>
      <w:pgSz w:w="20160" w:h="12240" w:orient="landscape" w:code="5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935E" w14:textId="77777777" w:rsidR="00E84148" w:rsidRDefault="00E84148" w:rsidP="000852BB">
      <w:pPr>
        <w:spacing w:after="0" w:line="240" w:lineRule="auto"/>
      </w:pPr>
      <w:r>
        <w:separator/>
      </w:r>
    </w:p>
  </w:endnote>
  <w:endnote w:type="continuationSeparator" w:id="0">
    <w:p w14:paraId="038D2E77" w14:textId="77777777" w:rsidR="00E84148" w:rsidRDefault="00E84148" w:rsidP="000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3962"/>
      <w:docPartObj>
        <w:docPartGallery w:val="Page Numbers (Bottom of Page)"/>
        <w:docPartUnique/>
      </w:docPartObj>
    </w:sdtPr>
    <w:sdtContent>
      <w:p w14:paraId="67C3D515" w14:textId="628865C5" w:rsidR="00302220" w:rsidRDefault="0030222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2220">
          <w:rPr>
            <w:noProof/>
            <w:lang w:val="fr-FR"/>
          </w:rPr>
          <w:t>2</w:t>
        </w:r>
        <w:r>
          <w:fldChar w:fldCharType="end"/>
        </w:r>
      </w:p>
    </w:sdtContent>
  </w:sdt>
  <w:p w14:paraId="584377FB" w14:textId="77777777" w:rsidR="00E84148" w:rsidRDefault="00E84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02CE" w14:textId="77777777" w:rsidR="00E84148" w:rsidRDefault="00E84148" w:rsidP="000852BB">
      <w:pPr>
        <w:spacing w:after="0" w:line="240" w:lineRule="auto"/>
      </w:pPr>
      <w:r>
        <w:separator/>
      </w:r>
    </w:p>
  </w:footnote>
  <w:footnote w:type="continuationSeparator" w:id="0">
    <w:p w14:paraId="079565DE" w14:textId="77777777" w:rsidR="00E84148" w:rsidRDefault="00E84148" w:rsidP="000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2A78" w14:textId="707E2ABA" w:rsidR="00520713" w:rsidRDefault="00520713">
    <w:pPr>
      <w:pStyle w:val="En-tte"/>
    </w:pPr>
    <w:r>
      <w:rPr>
        <w:noProof/>
        <w:lang w:eastAsia="fr-CA"/>
      </w:rPr>
      <w:drawing>
        <wp:inline distT="0" distB="0" distL="0" distR="0" wp14:anchorId="333A05C0" wp14:editId="47DBE095">
          <wp:extent cx="2314575" cy="7715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TSAS-logo2011-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9D7E" w14:textId="77777777" w:rsidR="00520713" w:rsidRDefault="005207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2CF"/>
    <w:multiLevelType w:val="multilevel"/>
    <w:tmpl w:val="C3A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2DBD"/>
    <w:multiLevelType w:val="hybridMultilevel"/>
    <w:tmpl w:val="E390C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B98"/>
    <w:multiLevelType w:val="hybridMultilevel"/>
    <w:tmpl w:val="A0DC8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EEB"/>
    <w:multiLevelType w:val="multilevel"/>
    <w:tmpl w:val="A1F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437D"/>
    <w:multiLevelType w:val="hybridMultilevel"/>
    <w:tmpl w:val="C3B21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6E6"/>
    <w:multiLevelType w:val="multilevel"/>
    <w:tmpl w:val="9BDA6518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142"/>
    <w:multiLevelType w:val="hybridMultilevel"/>
    <w:tmpl w:val="3ECC8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4E2C"/>
    <w:multiLevelType w:val="hybridMultilevel"/>
    <w:tmpl w:val="AB264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654A9"/>
    <w:multiLevelType w:val="hybridMultilevel"/>
    <w:tmpl w:val="5C48C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3C"/>
    <w:multiLevelType w:val="multilevel"/>
    <w:tmpl w:val="8BC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620F0"/>
    <w:multiLevelType w:val="multilevel"/>
    <w:tmpl w:val="88A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617F"/>
    <w:multiLevelType w:val="hybridMultilevel"/>
    <w:tmpl w:val="0504E1C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4C01BCE"/>
    <w:multiLevelType w:val="multilevel"/>
    <w:tmpl w:val="9BDA6518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3ED9"/>
    <w:multiLevelType w:val="hybridMultilevel"/>
    <w:tmpl w:val="77740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23354"/>
    <w:multiLevelType w:val="hybridMultilevel"/>
    <w:tmpl w:val="977AB05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D50198D"/>
    <w:multiLevelType w:val="hybridMultilevel"/>
    <w:tmpl w:val="DEB2E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4FD4"/>
    <w:multiLevelType w:val="multilevel"/>
    <w:tmpl w:val="A2A03B06"/>
    <w:lvl w:ilvl="0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1736"/>
    <w:multiLevelType w:val="multilevel"/>
    <w:tmpl w:val="6CA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21424"/>
    <w:multiLevelType w:val="multilevel"/>
    <w:tmpl w:val="FFBA3D44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A7"/>
    <w:multiLevelType w:val="multilevel"/>
    <w:tmpl w:val="D4229854"/>
    <w:lvl w:ilvl="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580" w:hanging="50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71146"/>
    <w:multiLevelType w:val="hybridMultilevel"/>
    <w:tmpl w:val="BAD8A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FB"/>
    <w:multiLevelType w:val="hybridMultilevel"/>
    <w:tmpl w:val="83CEE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07297"/>
    <w:multiLevelType w:val="multilevel"/>
    <w:tmpl w:val="9B20CA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A71444"/>
    <w:multiLevelType w:val="multilevel"/>
    <w:tmpl w:val="43E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303"/>
    <w:multiLevelType w:val="hybridMultilevel"/>
    <w:tmpl w:val="60645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3"/>
  </w:num>
  <w:num w:numId="5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36"/>
          </w:tabs>
          <w:ind w:left="736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7"/>
  </w:num>
  <w:num w:numId="8">
    <w:abstractNumId w:val="3"/>
  </w:num>
  <w:num w:numId="9">
    <w:abstractNumId w:val="18"/>
  </w:num>
  <w:num w:numId="10">
    <w:abstractNumId w:val="1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2"/>
  </w:num>
  <w:num w:numId="19">
    <w:abstractNumId w:val="6"/>
  </w:num>
  <w:num w:numId="20">
    <w:abstractNumId w:val="2"/>
  </w:num>
  <w:num w:numId="21">
    <w:abstractNumId w:val="21"/>
  </w:num>
  <w:num w:numId="22">
    <w:abstractNumId w:val="15"/>
  </w:num>
  <w:num w:numId="23">
    <w:abstractNumId w:val="7"/>
  </w:num>
  <w:num w:numId="24">
    <w:abstractNumId w:val="24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3"/>
    <w:rsid w:val="00003B70"/>
    <w:rsid w:val="00005505"/>
    <w:rsid w:val="000056AA"/>
    <w:rsid w:val="000069BA"/>
    <w:rsid w:val="000263E1"/>
    <w:rsid w:val="0003027A"/>
    <w:rsid w:val="00034912"/>
    <w:rsid w:val="00034FA6"/>
    <w:rsid w:val="000365FC"/>
    <w:rsid w:val="00052DBB"/>
    <w:rsid w:val="0005314D"/>
    <w:rsid w:val="0006653B"/>
    <w:rsid w:val="000670B8"/>
    <w:rsid w:val="000712F3"/>
    <w:rsid w:val="00073559"/>
    <w:rsid w:val="00075099"/>
    <w:rsid w:val="00084DEB"/>
    <w:rsid w:val="000852BB"/>
    <w:rsid w:val="00086602"/>
    <w:rsid w:val="00086938"/>
    <w:rsid w:val="00092B0D"/>
    <w:rsid w:val="00092F77"/>
    <w:rsid w:val="000955F3"/>
    <w:rsid w:val="00095E78"/>
    <w:rsid w:val="000979CD"/>
    <w:rsid w:val="000A1348"/>
    <w:rsid w:val="000C01B6"/>
    <w:rsid w:val="000C05AC"/>
    <w:rsid w:val="000C4DDA"/>
    <w:rsid w:val="000C6B16"/>
    <w:rsid w:val="000C6E24"/>
    <w:rsid w:val="000D3991"/>
    <w:rsid w:val="000E2C33"/>
    <w:rsid w:val="000E3570"/>
    <w:rsid w:val="000E7AE9"/>
    <w:rsid w:val="000F2F79"/>
    <w:rsid w:val="000F6F66"/>
    <w:rsid w:val="000F7240"/>
    <w:rsid w:val="00101FB0"/>
    <w:rsid w:val="001130FC"/>
    <w:rsid w:val="00131475"/>
    <w:rsid w:val="00132878"/>
    <w:rsid w:val="001333B3"/>
    <w:rsid w:val="00136512"/>
    <w:rsid w:val="00146246"/>
    <w:rsid w:val="00153A5A"/>
    <w:rsid w:val="00156436"/>
    <w:rsid w:val="001632C8"/>
    <w:rsid w:val="00166FB7"/>
    <w:rsid w:val="001750D0"/>
    <w:rsid w:val="0018589B"/>
    <w:rsid w:val="00186A2B"/>
    <w:rsid w:val="00187194"/>
    <w:rsid w:val="00190163"/>
    <w:rsid w:val="00191436"/>
    <w:rsid w:val="00192D1F"/>
    <w:rsid w:val="001A52C5"/>
    <w:rsid w:val="001B731F"/>
    <w:rsid w:val="001C0FA9"/>
    <w:rsid w:val="001C4086"/>
    <w:rsid w:val="001E6DF3"/>
    <w:rsid w:val="001F0B9C"/>
    <w:rsid w:val="001F3F0B"/>
    <w:rsid w:val="001F5F26"/>
    <w:rsid w:val="001F61FF"/>
    <w:rsid w:val="00202D8E"/>
    <w:rsid w:val="00207820"/>
    <w:rsid w:val="0021277F"/>
    <w:rsid w:val="0023357D"/>
    <w:rsid w:val="002418D8"/>
    <w:rsid w:val="002455A0"/>
    <w:rsid w:val="00256B75"/>
    <w:rsid w:val="00257890"/>
    <w:rsid w:val="002651D6"/>
    <w:rsid w:val="00270E90"/>
    <w:rsid w:val="00272A4D"/>
    <w:rsid w:val="0027480D"/>
    <w:rsid w:val="0027798C"/>
    <w:rsid w:val="002842CB"/>
    <w:rsid w:val="002966C1"/>
    <w:rsid w:val="00297DF0"/>
    <w:rsid w:val="002A23F5"/>
    <w:rsid w:val="002A4E0C"/>
    <w:rsid w:val="002A6787"/>
    <w:rsid w:val="002B026A"/>
    <w:rsid w:val="002C4870"/>
    <w:rsid w:val="002D0757"/>
    <w:rsid w:val="002D3691"/>
    <w:rsid w:val="002D4C69"/>
    <w:rsid w:val="002D4FFC"/>
    <w:rsid w:val="002D54A4"/>
    <w:rsid w:val="002E7220"/>
    <w:rsid w:val="002F16A4"/>
    <w:rsid w:val="002F2979"/>
    <w:rsid w:val="002F7973"/>
    <w:rsid w:val="00300685"/>
    <w:rsid w:val="00302220"/>
    <w:rsid w:val="00306F2A"/>
    <w:rsid w:val="00310E6D"/>
    <w:rsid w:val="003168D3"/>
    <w:rsid w:val="003214EF"/>
    <w:rsid w:val="0032390A"/>
    <w:rsid w:val="00333E60"/>
    <w:rsid w:val="00341D09"/>
    <w:rsid w:val="00342D2D"/>
    <w:rsid w:val="003472E6"/>
    <w:rsid w:val="00350C17"/>
    <w:rsid w:val="003532DA"/>
    <w:rsid w:val="00356E2B"/>
    <w:rsid w:val="00357DEA"/>
    <w:rsid w:val="0036322F"/>
    <w:rsid w:val="00364B4A"/>
    <w:rsid w:val="003738EA"/>
    <w:rsid w:val="003916CA"/>
    <w:rsid w:val="0039194A"/>
    <w:rsid w:val="003C1753"/>
    <w:rsid w:val="003C3EFA"/>
    <w:rsid w:val="003D58FF"/>
    <w:rsid w:val="003E0D6B"/>
    <w:rsid w:val="003E1D6B"/>
    <w:rsid w:val="003F50C3"/>
    <w:rsid w:val="003F6C12"/>
    <w:rsid w:val="0040419A"/>
    <w:rsid w:val="00404B2B"/>
    <w:rsid w:val="00416CE6"/>
    <w:rsid w:val="004201CE"/>
    <w:rsid w:val="004243EC"/>
    <w:rsid w:val="00424582"/>
    <w:rsid w:val="00434E85"/>
    <w:rsid w:val="00435E80"/>
    <w:rsid w:val="00440E85"/>
    <w:rsid w:val="00444A52"/>
    <w:rsid w:val="004559D5"/>
    <w:rsid w:val="00463030"/>
    <w:rsid w:val="00463F29"/>
    <w:rsid w:val="00466F0F"/>
    <w:rsid w:val="004726E7"/>
    <w:rsid w:val="00490AFB"/>
    <w:rsid w:val="00493E13"/>
    <w:rsid w:val="00494A71"/>
    <w:rsid w:val="004D5237"/>
    <w:rsid w:val="004E6EB0"/>
    <w:rsid w:val="004F5447"/>
    <w:rsid w:val="004F73A0"/>
    <w:rsid w:val="00507E81"/>
    <w:rsid w:val="00514416"/>
    <w:rsid w:val="005148A8"/>
    <w:rsid w:val="00520560"/>
    <w:rsid w:val="00520713"/>
    <w:rsid w:val="00524846"/>
    <w:rsid w:val="00540EAB"/>
    <w:rsid w:val="00542C43"/>
    <w:rsid w:val="00546151"/>
    <w:rsid w:val="00552DCC"/>
    <w:rsid w:val="005603D3"/>
    <w:rsid w:val="005603DE"/>
    <w:rsid w:val="0058116C"/>
    <w:rsid w:val="005832B0"/>
    <w:rsid w:val="00585516"/>
    <w:rsid w:val="005A180E"/>
    <w:rsid w:val="005A38E7"/>
    <w:rsid w:val="005B1F8D"/>
    <w:rsid w:val="005B3385"/>
    <w:rsid w:val="005B3EB2"/>
    <w:rsid w:val="005C46F0"/>
    <w:rsid w:val="005C4EEB"/>
    <w:rsid w:val="005D0574"/>
    <w:rsid w:val="005D4B8D"/>
    <w:rsid w:val="005D706E"/>
    <w:rsid w:val="005E1326"/>
    <w:rsid w:val="005F12EE"/>
    <w:rsid w:val="005F45DC"/>
    <w:rsid w:val="005F5083"/>
    <w:rsid w:val="005F5145"/>
    <w:rsid w:val="005F5385"/>
    <w:rsid w:val="00601174"/>
    <w:rsid w:val="00613773"/>
    <w:rsid w:val="00620200"/>
    <w:rsid w:val="00621FFC"/>
    <w:rsid w:val="00622CF6"/>
    <w:rsid w:val="00634B3D"/>
    <w:rsid w:val="0063769B"/>
    <w:rsid w:val="00646CC0"/>
    <w:rsid w:val="00650EB6"/>
    <w:rsid w:val="00653B9C"/>
    <w:rsid w:val="006553A2"/>
    <w:rsid w:val="00662227"/>
    <w:rsid w:val="006632D3"/>
    <w:rsid w:val="00667404"/>
    <w:rsid w:val="00673A29"/>
    <w:rsid w:val="00683F29"/>
    <w:rsid w:val="006B1E14"/>
    <w:rsid w:val="006B4A6B"/>
    <w:rsid w:val="006C7F6C"/>
    <w:rsid w:val="006D0D3F"/>
    <w:rsid w:val="006D413C"/>
    <w:rsid w:val="006D6089"/>
    <w:rsid w:val="006E0CFE"/>
    <w:rsid w:val="006E1782"/>
    <w:rsid w:val="00710D47"/>
    <w:rsid w:val="00720362"/>
    <w:rsid w:val="00721472"/>
    <w:rsid w:val="00725A58"/>
    <w:rsid w:val="007318C7"/>
    <w:rsid w:val="0073658D"/>
    <w:rsid w:val="007379D1"/>
    <w:rsid w:val="00743E25"/>
    <w:rsid w:val="0074789C"/>
    <w:rsid w:val="00747F18"/>
    <w:rsid w:val="007503B9"/>
    <w:rsid w:val="00751903"/>
    <w:rsid w:val="007612D1"/>
    <w:rsid w:val="007826F9"/>
    <w:rsid w:val="007827EF"/>
    <w:rsid w:val="00787E62"/>
    <w:rsid w:val="007906C8"/>
    <w:rsid w:val="00795354"/>
    <w:rsid w:val="007B3CAA"/>
    <w:rsid w:val="007B6FA1"/>
    <w:rsid w:val="007C0AD3"/>
    <w:rsid w:val="007C5348"/>
    <w:rsid w:val="007C7625"/>
    <w:rsid w:val="007C799E"/>
    <w:rsid w:val="007C79E7"/>
    <w:rsid w:val="007D3F55"/>
    <w:rsid w:val="007D659A"/>
    <w:rsid w:val="007E069F"/>
    <w:rsid w:val="007E3349"/>
    <w:rsid w:val="007E4F83"/>
    <w:rsid w:val="007E56F7"/>
    <w:rsid w:val="007F11F4"/>
    <w:rsid w:val="007F5FDE"/>
    <w:rsid w:val="007F7391"/>
    <w:rsid w:val="00801A4A"/>
    <w:rsid w:val="008102B6"/>
    <w:rsid w:val="00811053"/>
    <w:rsid w:val="008119D2"/>
    <w:rsid w:val="00811B47"/>
    <w:rsid w:val="00812958"/>
    <w:rsid w:val="0081650B"/>
    <w:rsid w:val="00820E7F"/>
    <w:rsid w:val="00821595"/>
    <w:rsid w:val="00821FB9"/>
    <w:rsid w:val="00825D7D"/>
    <w:rsid w:val="00826CA0"/>
    <w:rsid w:val="0082780C"/>
    <w:rsid w:val="00830C61"/>
    <w:rsid w:val="008507A8"/>
    <w:rsid w:val="00850E47"/>
    <w:rsid w:val="00857E7B"/>
    <w:rsid w:val="00860278"/>
    <w:rsid w:val="008611B9"/>
    <w:rsid w:val="00876E8B"/>
    <w:rsid w:val="008A51CE"/>
    <w:rsid w:val="008A5BF9"/>
    <w:rsid w:val="008C3CC9"/>
    <w:rsid w:val="008D0D1A"/>
    <w:rsid w:val="008D3B5D"/>
    <w:rsid w:val="008E1B24"/>
    <w:rsid w:val="008E235A"/>
    <w:rsid w:val="008F0297"/>
    <w:rsid w:val="00900745"/>
    <w:rsid w:val="009036AE"/>
    <w:rsid w:val="0091034E"/>
    <w:rsid w:val="009111C4"/>
    <w:rsid w:val="00911E9C"/>
    <w:rsid w:val="00936C74"/>
    <w:rsid w:val="00937AD2"/>
    <w:rsid w:val="009401CE"/>
    <w:rsid w:val="009440A9"/>
    <w:rsid w:val="00944918"/>
    <w:rsid w:val="0096184A"/>
    <w:rsid w:val="0096240F"/>
    <w:rsid w:val="00985AB5"/>
    <w:rsid w:val="00994F98"/>
    <w:rsid w:val="00996779"/>
    <w:rsid w:val="00997D81"/>
    <w:rsid w:val="009A2606"/>
    <w:rsid w:val="009B1719"/>
    <w:rsid w:val="009C6174"/>
    <w:rsid w:val="009E1658"/>
    <w:rsid w:val="009E191E"/>
    <w:rsid w:val="009E2790"/>
    <w:rsid w:val="009E33EF"/>
    <w:rsid w:val="009E5730"/>
    <w:rsid w:val="009F0A65"/>
    <w:rsid w:val="009F1865"/>
    <w:rsid w:val="009F3D7E"/>
    <w:rsid w:val="009F4BA0"/>
    <w:rsid w:val="00A0338C"/>
    <w:rsid w:val="00A057CB"/>
    <w:rsid w:val="00A06294"/>
    <w:rsid w:val="00A159E9"/>
    <w:rsid w:val="00A15FEE"/>
    <w:rsid w:val="00A17403"/>
    <w:rsid w:val="00A245FC"/>
    <w:rsid w:val="00A25CD4"/>
    <w:rsid w:val="00A26CB0"/>
    <w:rsid w:val="00A3762A"/>
    <w:rsid w:val="00A431F7"/>
    <w:rsid w:val="00A4623C"/>
    <w:rsid w:val="00A52ECB"/>
    <w:rsid w:val="00A64852"/>
    <w:rsid w:val="00A64F57"/>
    <w:rsid w:val="00A66198"/>
    <w:rsid w:val="00A67F96"/>
    <w:rsid w:val="00A718FD"/>
    <w:rsid w:val="00A738D7"/>
    <w:rsid w:val="00A76578"/>
    <w:rsid w:val="00A84F98"/>
    <w:rsid w:val="00A920CA"/>
    <w:rsid w:val="00AA4B2D"/>
    <w:rsid w:val="00AA5941"/>
    <w:rsid w:val="00AA7A6D"/>
    <w:rsid w:val="00AB04CE"/>
    <w:rsid w:val="00AC03A3"/>
    <w:rsid w:val="00AD00AB"/>
    <w:rsid w:val="00AE4687"/>
    <w:rsid w:val="00AE66AD"/>
    <w:rsid w:val="00AE6FCC"/>
    <w:rsid w:val="00AF513A"/>
    <w:rsid w:val="00B05417"/>
    <w:rsid w:val="00B222F8"/>
    <w:rsid w:val="00B279B3"/>
    <w:rsid w:val="00B35754"/>
    <w:rsid w:val="00B4399E"/>
    <w:rsid w:val="00B44D53"/>
    <w:rsid w:val="00B46E3F"/>
    <w:rsid w:val="00B47234"/>
    <w:rsid w:val="00B527FB"/>
    <w:rsid w:val="00B63EC4"/>
    <w:rsid w:val="00B75721"/>
    <w:rsid w:val="00B76CEC"/>
    <w:rsid w:val="00B855E0"/>
    <w:rsid w:val="00B87C9E"/>
    <w:rsid w:val="00B90513"/>
    <w:rsid w:val="00B93F46"/>
    <w:rsid w:val="00B9584A"/>
    <w:rsid w:val="00B97B18"/>
    <w:rsid w:val="00BA6EDC"/>
    <w:rsid w:val="00BB251C"/>
    <w:rsid w:val="00BB5EA5"/>
    <w:rsid w:val="00BC0C72"/>
    <w:rsid w:val="00BC2ACA"/>
    <w:rsid w:val="00BC54B2"/>
    <w:rsid w:val="00BC61B9"/>
    <w:rsid w:val="00C05C0B"/>
    <w:rsid w:val="00C15B7E"/>
    <w:rsid w:val="00C15C5C"/>
    <w:rsid w:val="00C17218"/>
    <w:rsid w:val="00C20B38"/>
    <w:rsid w:val="00C25967"/>
    <w:rsid w:val="00C3235F"/>
    <w:rsid w:val="00C3542B"/>
    <w:rsid w:val="00C35697"/>
    <w:rsid w:val="00C416E0"/>
    <w:rsid w:val="00C4500F"/>
    <w:rsid w:val="00C465C2"/>
    <w:rsid w:val="00C468DA"/>
    <w:rsid w:val="00C51E65"/>
    <w:rsid w:val="00C52026"/>
    <w:rsid w:val="00C527FC"/>
    <w:rsid w:val="00C55251"/>
    <w:rsid w:val="00C56A22"/>
    <w:rsid w:val="00C67994"/>
    <w:rsid w:val="00C84428"/>
    <w:rsid w:val="00C90F38"/>
    <w:rsid w:val="00C915EB"/>
    <w:rsid w:val="00C91BD5"/>
    <w:rsid w:val="00CA0BBA"/>
    <w:rsid w:val="00CA3695"/>
    <w:rsid w:val="00CA6C14"/>
    <w:rsid w:val="00CA7AE8"/>
    <w:rsid w:val="00CB0E52"/>
    <w:rsid w:val="00CB4641"/>
    <w:rsid w:val="00CC1421"/>
    <w:rsid w:val="00CC22F4"/>
    <w:rsid w:val="00CC586D"/>
    <w:rsid w:val="00CD171D"/>
    <w:rsid w:val="00CD31B3"/>
    <w:rsid w:val="00CD444E"/>
    <w:rsid w:val="00CF1461"/>
    <w:rsid w:val="00CF21AA"/>
    <w:rsid w:val="00D0192A"/>
    <w:rsid w:val="00D01B1E"/>
    <w:rsid w:val="00D0345A"/>
    <w:rsid w:val="00D12A28"/>
    <w:rsid w:val="00D2109E"/>
    <w:rsid w:val="00D21530"/>
    <w:rsid w:val="00D23517"/>
    <w:rsid w:val="00D30407"/>
    <w:rsid w:val="00D354A1"/>
    <w:rsid w:val="00D462CD"/>
    <w:rsid w:val="00D465F5"/>
    <w:rsid w:val="00D56C08"/>
    <w:rsid w:val="00D6315E"/>
    <w:rsid w:val="00D65317"/>
    <w:rsid w:val="00D711D4"/>
    <w:rsid w:val="00D72A34"/>
    <w:rsid w:val="00D8024D"/>
    <w:rsid w:val="00D821E2"/>
    <w:rsid w:val="00D87721"/>
    <w:rsid w:val="00DA74D7"/>
    <w:rsid w:val="00DA7EF3"/>
    <w:rsid w:val="00DB3201"/>
    <w:rsid w:val="00DB63B0"/>
    <w:rsid w:val="00DC17FF"/>
    <w:rsid w:val="00DD054F"/>
    <w:rsid w:val="00DD73B8"/>
    <w:rsid w:val="00DE41DB"/>
    <w:rsid w:val="00DE5E2C"/>
    <w:rsid w:val="00DE78DA"/>
    <w:rsid w:val="00DE7FCF"/>
    <w:rsid w:val="00DF2122"/>
    <w:rsid w:val="00DF38AB"/>
    <w:rsid w:val="00DF7730"/>
    <w:rsid w:val="00E14FCD"/>
    <w:rsid w:val="00E1704F"/>
    <w:rsid w:val="00E20C9C"/>
    <w:rsid w:val="00E2117E"/>
    <w:rsid w:val="00E260E2"/>
    <w:rsid w:val="00E32B60"/>
    <w:rsid w:val="00E33711"/>
    <w:rsid w:val="00E446C5"/>
    <w:rsid w:val="00E4651F"/>
    <w:rsid w:val="00E51C75"/>
    <w:rsid w:val="00E56474"/>
    <w:rsid w:val="00E57FF7"/>
    <w:rsid w:val="00E6130F"/>
    <w:rsid w:val="00E644B2"/>
    <w:rsid w:val="00E74AC4"/>
    <w:rsid w:val="00E7548B"/>
    <w:rsid w:val="00E84148"/>
    <w:rsid w:val="00E842BC"/>
    <w:rsid w:val="00E85A2A"/>
    <w:rsid w:val="00E9037E"/>
    <w:rsid w:val="00E9136E"/>
    <w:rsid w:val="00E91717"/>
    <w:rsid w:val="00E944CA"/>
    <w:rsid w:val="00EA7422"/>
    <w:rsid w:val="00EB2166"/>
    <w:rsid w:val="00EB414C"/>
    <w:rsid w:val="00EC667D"/>
    <w:rsid w:val="00EC6858"/>
    <w:rsid w:val="00ED2DB7"/>
    <w:rsid w:val="00ED5310"/>
    <w:rsid w:val="00EE43A5"/>
    <w:rsid w:val="00EE465D"/>
    <w:rsid w:val="00EF4873"/>
    <w:rsid w:val="00EF602C"/>
    <w:rsid w:val="00F02492"/>
    <w:rsid w:val="00F032DF"/>
    <w:rsid w:val="00F10D5B"/>
    <w:rsid w:val="00F16FDD"/>
    <w:rsid w:val="00F20236"/>
    <w:rsid w:val="00F24BFC"/>
    <w:rsid w:val="00F37970"/>
    <w:rsid w:val="00F37B6F"/>
    <w:rsid w:val="00F40235"/>
    <w:rsid w:val="00F421CF"/>
    <w:rsid w:val="00F430FA"/>
    <w:rsid w:val="00F4329F"/>
    <w:rsid w:val="00F45610"/>
    <w:rsid w:val="00F46374"/>
    <w:rsid w:val="00F47841"/>
    <w:rsid w:val="00F47F64"/>
    <w:rsid w:val="00F57A38"/>
    <w:rsid w:val="00F62DEB"/>
    <w:rsid w:val="00F6546E"/>
    <w:rsid w:val="00F73F60"/>
    <w:rsid w:val="00F75989"/>
    <w:rsid w:val="00F82929"/>
    <w:rsid w:val="00F8412B"/>
    <w:rsid w:val="00F9033C"/>
    <w:rsid w:val="00F9486F"/>
    <w:rsid w:val="00FA28E5"/>
    <w:rsid w:val="00FA3192"/>
    <w:rsid w:val="00FA4B1A"/>
    <w:rsid w:val="00FA54A9"/>
    <w:rsid w:val="00FA7FFD"/>
    <w:rsid w:val="00FB39D6"/>
    <w:rsid w:val="00FC0B24"/>
    <w:rsid w:val="00FC31E7"/>
    <w:rsid w:val="00FC4B47"/>
    <w:rsid w:val="00FE41F6"/>
    <w:rsid w:val="00FE73E5"/>
    <w:rsid w:val="00FF3796"/>
    <w:rsid w:val="00FF517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A514B"/>
  <w15:chartTrackingRefBased/>
  <w15:docId w15:val="{46A43908-546B-43DF-B0D1-07A4EE1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2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A6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50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2BB"/>
  </w:style>
  <w:style w:type="paragraph" w:styleId="Pieddepage">
    <w:name w:val="footer"/>
    <w:basedOn w:val="Normal"/>
    <w:link w:val="PieddepageCar"/>
    <w:uiPriority w:val="99"/>
    <w:unhideWhenUsed/>
    <w:rsid w:val="0008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2BB"/>
  </w:style>
  <w:style w:type="character" w:styleId="Lienhypertexte">
    <w:name w:val="Hyperlink"/>
    <w:basedOn w:val="Policepardfaut"/>
    <w:uiPriority w:val="99"/>
    <w:unhideWhenUsed/>
    <w:rsid w:val="00F9486F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3B3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33B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333B3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32B60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9D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9D5"/>
    <w:rPr>
      <w:b/>
      <w:bCs/>
      <w:sz w:val="20"/>
      <w:szCs w:val="20"/>
    </w:rPr>
  </w:style>
  <w:style w:type="character" w:customStyle="1" w:styleId="texte-courant">
    <w:name w:val="texte-courant"/>
    <w:basedOn w:val="Policepardfaut"/>
    <w:rsid w:val="00466F0F"/>
  </w:style>
  <w:style w:type="character" w:customStyle="1" w:styleId="Titre2Car">
    <w:name w:val="Titre 2 Car"/>
    <w:basedOn w:val="Policepardfaut"/>
    <w:link w:val="Titre2"/>
    <w:uiPriority w:val="9"/>
    <w:rsid w:val="00FC3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7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1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2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405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38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9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432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66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39">
          <w:marLeft w:val="1339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11FF-A365-4A90-8AEF-BABD8F47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Bélanger</dc:creator>
  <cp:keywords/>
  <dc:description/>
  <cp:lastModifiedBy>Louise Bélanger</cp:lastModifiedBy>
  <cp:revision>4</cp:revision>
  <cp:lastPrinted>2017-04-04T20:05:00Z</cp:lastPrinted>
  <dcterms:created xsi:type="dcterms:W3CDTF">2018-09-20T13:27:00Z</dcterms:created>
  <dcterms:modified xsi:type="dcterms:W3CDTF">2018-09-20T13:29:00Z</dcterms:modified>
</cp:coreProperties>
</file>