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8" w:type="dxa"/>
        <w:tblLayout w:type="fixed"/>
        <w:tblCellMar>
          <w:left w:w="28" w:type="dxa"/>
          <w:right w:w="28" w:type="dxa"/>
        </w:tblCellMar>
        <w:tblLook w:val="0000" w:firstRow="0" w:lastRow="0" w:firstColumn="0" w:lastColumn="0" w:noHBand="0" w:noVBand="0"/>
      </w:tblPr>
      <w:tblGrid>
        <w:gridCol w:w="7240"/>
        <w:gridCol w:w="652"/>
        <w:gridCol w:w="652"/>
        <w:gridCol w:w="1984"/>
      </w:tblGrid>
      <w:tr w:rsidR="000329F3" w:rsidRPr="000329F3" w14:paraId="0FE8EB32" w14:textId="77777777" w:rsidTr="009760CB">
        <w:trPr>
          <w:trHeight w:val="437"/>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303C2F22" w14:textId="77777777" w:rsidR="00265449" w:rsidRPr="000329F3" w:rsidRDefault="00A12E01" w:rsidP="00204143">
            <w:pPr>
              <w:pStyle w:val="TableParagraph"/>
              <w:kinsoku w:val="0"/>
              <w:overflowPunct w:val="0"/>
              <w:spacing w:before="52"/>
              <w:ind w:left="21"/>
              <w:jc w:val="center"/>
              <w:rPr>
                <w:b/>
                <w:bCs/>
                <w:sz w:val="28"/>
                <w:szCs w:val="28"/>
              </w:rPr>
            </w:pPr>
            <w:r w:rsidRPr="001C3676">
              <w:rPr>
                <w:b/>
                <w:bCs/>
                <w:color w:val="FFFFFF" w:themeColor="background1"/>
                <w:sz w:val="28"/>
                <w:szCs w:val="28"/>
              </w:rPr>
              <w:t xml:space="preserve">Programme </w:t>
            </w:r>
            <w:r w:rsidR="00D60061" w:rsidRPr="001C3676">
              <w:rPr>
                <w:b/>
                <w:bCs/>
                <w:color w:val="FFFFFF" w:themeColor="background1"/>
                <w:sz w:val="28"/>
                <w:szCs w:val="28"/>
              </w:rPr>
              <w:t xml:space="preserve">de </w:t>
            </w:r>
            <w:r w:rsidR="00CE51FD" w:rsidRPr="001C3676">
              <w:rPr>
                <w:b/>
                <w:bCs/>
                <w:color w:val="FFFFFF" w:themeColor="background1"/>
                <w:sz w:val="28"/>
                <w:szCs w:val="28"/>
              </w:rPr>
              <w:t>déplacement</w:t>
            </w:r>
            <w:r w:rsidR="00D60061" w:rsidRPr="001C3676">
              <w:rPr>
                <w:b/>
                <w:bCs/>
                <w:color w:val="FFFFFF" w:themeColor="background1"/>
                <w:sz w:val="28"/>
                <w:szCs w:val="28"/>
              </w:rPr>
              <w:t xml:space="preserve"> sécuritaire des </w:t>
            </w:r>
            <w:r w:rsidR="00BB7450" w:rsidRPr="001C3676">
              <w:rPr>
                <w:b/>
                <w:bCs/>
                <w:color w:val="FFFFFF" w:themeColor="background1"/>
                <w:sz w:val="28"/>
                <w:szCs w:val="28"/>
              </w:rPr>
              <w:t>clients</w:t>
            </w:r>
            <w:r w:rsidR="00691F82" w:rsidRPr="001C3676">
              <w:rPr>
                <w:b/>
                <w:bCs/>
                <w:color w:val="FFFFFF" w:themeColor="background1"/>
                <w:sz w:val="28"/>
                <w:szCs w:val="28"/>
              </w:rPr>
              <w:t xml:space="preserve"> – Liste de vérification</w:t>
            </w:r>
          </w:p>
        </w:tc>
      </w:tr>
      <w:tr w:rsidR="000329F3" w:rsidRPr="000329F3" w14:paraId="7CFC4923" w14:textId="77777777" w:rsidTr="009760CB">
        <w:trPr>
          <w:trHeight w:val="425"/>
        </w:trPr>
        <w:tc>
          <w:tcPr>
            <w:tcW w:w="7240" w:type="dxa"/>
            <w:tcBorders>
              <w:top w:val="single" w:sz="4" w:space="0" w:color="000000"/>
              <w:left w:val="single" w:sz="4" w:space="0" w:color="000000"/>
              <w:bottom w:val="single" w:sz="4" w:space="0" w:color="000000"/>
              <w:right w:val="single" w:sz="4" w:space="0" w:color="000000"/>
            </w:tcBorders>
            <w:vAlign w:val="center"/>
          </w:tcPr>
          <w:p w14:paraId="394A1567" w14:textId="2E2F87B9" w:rsidR="000329F3" w:rsidRPr="000329F3" w:rsidRDefault="000329F3" w:rsidP="00FC5110">
            <w:pPr>
              <w:pStyle w:val="TableParagraph"/>
              <w:kinsoku w:val="0"/>
              <w:overflowPunct w:val="0"/>
              <w:ind w:left="110"/>
              <w:jc w:val="center"/>
              <w:rPr>
                <w:b/>
                <w:bCs/>
                <w:sz w:val="20"/>
                <w:szCs w:val="20"/>
              </w:rPr>
            </w:pPr>
            <w:r w:rsidRPr="000329F3">
              <w:rPr>
                <w:b/>
                <w:bCs/>
                <w:sz w:val="20"/>
                <w:szCs w:val="20"/>
              </w:rPr>
              <w:t>LISTE DE VÉRIFICATION DES PRINCIPAUX ÉLÉMENTS</w:t>
            </w:r>
          </w:p>
        </w:tc>
        <w:tc>
          <w:tcPr>
            <w:tcW w:w="652" w:type="dxa"/>
            <w:tcBorders>
              <w:top w:val="single" w:sz="4" w:space="0" w:color="000000"/>
              <w:left w:val="single" w:sz="4" w:space="0" w:color="000000"/>
              <w:bottom w:val="single" w:sz="4" w:space="0" w:color="000000"/>
              <w:right w:val="single" w:sz="4" w:space="0" w:color="000000"/>
            </w:tcBorders>
            <w:vAlign w:val="center"/>
          </w:tcPr>
          <w:p w14:paraId="7DB984D6" w14:textId="77777777" w:rsidR="000329F3" w:rsidRPr="000329F3" w:rsidRDefault="000329F3" w:rsidP="00FC5110">
            <w:pPr>
              <w:pStyle w:val="TableParagraph"/>
              <w:kinsoku w:val="0"/>
              <w:overflowPunct w:val="0"/>
              <w:ind w:left="111"/>
              <w:jc w:val="center"/>
              <w:rPr>
                <w:b/>
                <w:bCs/>
                <w:sz w:val="20"/>
                <w:szCs w:val="20"/>
              </w:rPr>
            </w:pPr>
            <w:r w:rsidRPr="000329F3">
              <w:rPr>
                <w:b/>
                <w:bCs/>
                <w:sz w:val="20"/>
                <w:szCs w:val="20"/>
              </w:rPr>
              <w:t>Oui</w:t>
            </w:r>
          </w:p>
        </w:tc>
        <w:tc>
          <w:tcPr>
            <w:tcW w:w="652" w:type="dxa"/>
            <w:tcBorders>
              <w:top w:val="single" w:sz="4" w:space="0" w:color="000000"/>
              <w:left w:val="single" w:sz="4" w:space="0" w:color="000000"/>
              <w:bottom w:val="single" w:sz="4" w:space="0" w:color="000000"/>
              <w:right w:val="single" w:sz="4" w:space="0" w:color="000000"/>
            </w:tcBorders>
            <w:vAlign w:val="center"/>
          </w:tcPr>
          <w:p w14:paraId="53E26A48" w14:textId="77777777" w:rsidR="000329F3" w:rsidRPr="000329F3" w:rsidRDefault="000329F3" w:rsidP="00FC5110">
            <w:pPr>
              <w:pStyle w:val="TableParagraph"/>
              <w:kinsoku w:val="0"/>
              <w:overflowPunct w:val="0"/>
              <w:ind w:left="112"/>
              <w:jc w:val="center"/>
              <w:rPr>
                <w:b/>
                <w:bCs/>
                <w:sz w:val="20"/>
                <w:szCs w:val="20"/>
              </w:rPr>
            </w:pPr>
            <w:r w:rsidRPr="000329F3">
              <w:rPr>
                <w:b/>
                <w:bCs/>
                <w:sz w:val="20"/>
                <w:szCs w:val="20"/>
              </w:rPr>
              <w:t>Non</w:t>
            </w:r>
          </w:p>
        </w:tc>
        <w:tc>
          <w:tcPr>
            <w:tcW w:w="1984" w:type="dxa"/>
            <w:tcBorders>
              <w:top w:val="single" w:sz="4" w:space="0" w:color="000000"/>
              <w:left w:val="single" w:sz="4" w:space="0" w:color="000000"/>
              <w:bottom w:val="single" w:sz="4" w:space="0" w:color="000000"/>
              <w:right w:val="single" w:sz="4" w:space="0" w:color="000000"/>
            </w:tcBorders>
            <w:vAlign w:val="center"/>
          </w:tcPr>
          <w:p w14:paraId="11080D8B" w14:textId="77777777" w:rsidR="000329F3" w:rsidRPr="000329F3" w:rsidRDefault="000329F3" w:rsidP="00FC5110">
            <w:pPr>
              <w:pStyle w:val="TableParagraph"/>
              <w:kinsoku w:val="0"/>
              <w:overflowPunct w:val="0"/>
              <w:ind w:left="114"/>
              <w:jc w:val="center"/>
              <w:rPr>
                <w:b/>
                <w:bCs/>
                <w:sz w:val="20"/>
                <w:szCs w:val="20"/>
              </w:rPr>
            </w:pPr>
            <w:r w:rsidRPr="000329F3">
              <w:rPr>
                <w:b/>
                <w:bCs/>
                <w:sz w:val="20"/>
                <w:szCs w:val="20"/>
              </w:rPr>
              <w:t>Action</w:t>
            </w:r>
          </w:p>
        </w:tc>
      </w:tr>
      <w:tr w:rsidR="000329F3" w:rsidRPr="000329F3" w14:paraId="7A990E82" w14:textId="77777777" w:rsidTr="009760CB">
        <w:trPr>
          <w:trHeight w:val="454"/>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7E9D7B88" w14:textId="77777777" w:rsidR="000329F3" w:rsidRPr="000329F3" w:rsidRDefault="000329F3" w:rsidP="009760CB">
            <w:pPr>
              <w:pStyle w:val="Numerotation"/>
            </w:pPr>
            <w:r w:rsidRPr="000329F3">
              <w:t xml:space="preserve">La haute </w:t>
            </w:r>
            <w:r w:rsidRPr="009760CB">
              <w:t>direction s’est engagée à concevoir, à mettre en œuvre et à maintenir un programme de déplacement sécuritaire des clients</w:t>
            </w:r>
            <w:r w:rsidRPr="000329F3">
              <w:t>.</w:t>
            </w:r>
          </w:p>
        </w:tc>
      </w:tr>
      <w:tr w:rsidR="00014BFD" w:rsidRPr="000329F3" w14:paraId="289F5137" w14:textId="77777777" w:rsidTr="009760CB">
        <w:trPr>
          <w:trHeight w:val="794"/>
        </w:trPr>
        <w:tc>
          <w:tcPr>
            <w:tcW w:w="7240" w:type="dxa"/>
            <w:tcBorders>
              <w:top w:val="single" w:sz="4" w:space="0" w:color="000000"/>
              <w:left w:val="single" w:sz="4" w:space="0" w:color="000000"/>
              <w:bottom w:val="single" w:sz="4" w:space="0" w:color="000000"/>
              <w:right w:val="single" w:sz="4" w:space="0" w:color="000000"/>
            </w:tcBorders>
          </w:tcPr>
          <w:p w14:paraId="79F90E5D" w14:textId="77777777" w:rsidR="00014BFD" w:rsidRPr="000329F3" w:rsidRDefault="00014BFD" w:rsidP="00D65A59">
            <w:pPr>
              <w:pStyle w:val="Pucess"/>
            </w:pPr>
            <w:r w:rsidRPr="009760CB">
              <w:rPr>
                <w:rStyle w:val="PucessCar"/>
              </w:rPr>
              <w:t xml:space="preserve">Il y a un engagement de la haute direction, notamment des ressources financières et </w:t>
            </w:r>
            <w:r w:rsidRPr="00D65A59">
              <w:t>humaines (p. ex., la nomination d’un responsable de programme et la mise sur pied d’un comité directeur multidisciplinaire pour superviser la mise en œuvre et la surveillance du programme).</w:t>
            </w:r>
          </w:p>
        </w:tc>
        <w:tc>
          <w:tcPr>
            <w:tcW w:w="652" w:type="dxa"/>
            <w:tcBorders>
              <w:top w:val="single" w:sz="4" w:space="0" w:color="000000"/>
              <w:left w:val="single" w:sz="4" w:space="0" w:color="000000"/>
              <w:bottom w:val="single" w:sz="4" w:space="0" w:color="000000"/>
              <w:right w:val="single" w:sz="4" w:space="0" w:color="000000"/>
            </w:tcBorders>
          </w:tcPr>
          <w:p w14:paraId="62A8F2BB" w14:textId="77777777" w:rsidR="00014BFD" w:rsidRPr="000329F3" w:rsidRDefault="00014BFD">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0674CDF9" w14:textId="77777777" w:rsidR="00014BFD" w:rsidRPr="000329F3" w:rsidRDefault="00014BFD">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A0E7B5C" w14:textId="77777777" w:rsidR="00014BFD" w:rsidRPr="000329F3" w:rsidRDefault="00014BFD">
            <w:pPr>
              <w:pStyle w:val="TableParagraph"/>
              <w:kinsoku w:val="0"/>
              <w:overflowPunct w:val="0"/>
              <w:rPr>
                <w:rFonts w:ascii="Times New Roman" w:hAnsi="Times New Roman" w:cs="Times New Roman"/>
                <w:sz w:val="18"/>
                <w:szCs w:val="18"/>
              </w:rPr>
            </w:pPr>
          </w:p>
        </w:tc>
      </w:tr>
      <w:tr w:rsidR="000329F3" w:rsidRPr="000329F3" w14:paraId="5C9ACC12" w14:textId="77777777" w:rsidTr="009760CB">
        <w:trPr>
          <w:trHeight w:val="227"/>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01CAD004" w14:textId="33CC4DD8" w:rsidR="000329F3" w:rsidRPr="000329F3" w:rsidRDefault="000329F3" w:rsidP="009760CB">
            <w:pPr>
              <w:pStyle w:val="Numerotation"/>
            </w:pPr>
            <w:r w:rsidRPr="00014BFD">
              <w:t>L’organisation a réalisé</w:t>
            </w:r>
            <w:r w:rsidRPr="000329F3">
              <w:t xml:space="preserve"> une évaluation des risques pour déterminer les besoins liés au programme.</w:t>
            </w:r>
          </w:p>
        </w:tc>
      </w:tr>
      <w:tr w:rsidR="00014BFD" w:rsidRPr="000329F3" w14:paraId="44D3A628" w14:textId="77777777" w:rsidTr="009760CB">
        <w:trPr>
          <w:trHeight w:val="1149"/>
        </w:trPr>
        <w:tc>
          <w:tcPr>
            <w:tcW w:w="7240" w:type="dxa"/>
            <w:tcBorders>
              <w:top w:val="single" w:sz="4" w:space="0" w:color="000000"/>
              <w:left w:val="single" w:sz="4" w:space="0" w:color="000000"/>
              <w:bottom w:val="single" w:sz="4" w:space="0" w:color="000000"/>
              <w:right w:val="single" w:sz="4" w:space="0" w:color="000000"/>
            </w:tcBorders>
          </w:tcPr>
          <w:p w14:paraId="73A8F2A1" w14:textId="07A2E26A" w:rsidR="00014BFD" w:rsidRPr="009760CB" w:rsidRDefault="00014BFD" w:rsidP="00D65A59">
            <w:pPr>
              <w:pStyle w:val="Pucess"/>
            </w:pPr>
            <w:r w:rsidRPr="000329F3">
              <w:t xml:space="preserve">Analyse </w:t>
            </w:r>
            <w:r w:rsidRPr="009760CB">
              <w:t>des incidents, des accidents et des documents</w:t>
            </w:r>
            <w:r w:rsidR="00E963B3">
              <w:t xml:space="preserve"> </w:t>
            </w:r>
            <w:r w:rsidRPr="009760CB">
              <w:t>internes</w:t>
            </w:r>
            <w:r w:rsidR="00D65A59">
              <w:t>.</w:t>
            </w:r>
          </w:p>
          <w:p w14:paraId="33710A78" w14:textId="6A699C0C" w:rsidR="00014BFD" w:rsidRPr="009760CB" w:rsidRDefault="00014BFD" w:rsidP="00D65A59">
            <w:pPr>
              <w:pStyle w:val="Pucess"/>
            </w:pPr>
            <w:r w:rsidRPr="009760CB">
              <w:t>Évaluation des besoins des clients</w:t>
            </w:r>
            <w:r w:rsidR="00D65A59">
              <w:t>.</w:t>
            </w:r>
          </w:p>
          <w:p w14:paraId="12AB5A5D" w14:textId="038A60E5" w:rsidR="00014BFD" w:rsidRPr="009760CB" w:rsidRDefault="00014BFD" w:rsidP="00D65A59">
            <w:pPr>
              <w:pStyle w:val="Pucess"/>
            </w:pPr>
            <w:r w:rsidRPr="009760CB">
              <w:t>Évaluation des besoins en équipement</w:t>
            </w:r>
            <w:r w:rsidR="00D65A59">
              <w:t>.</w:t>
            </w:r>
          </w:p>
          <w:p w14:paraId="52B6612C" w14:textId="6EB3F347" w:rsidR="00014BFD" w:rsidRPr="009760CB" w:rsidRDefault="00014BFD" w:rsidP="00D65A59">
            <w:pPr>
              <w:pStyle w:val="Pucess"/>
            </w:pPr>
            <w:r w:rsidRPr="009760CB">
              <w:t>Évaluation des obstacles environnementaux</w:t>
            </w:r>
            <w:r w:rsidR="00D65A59">
              <w:t>.</w:t>
            </w:r>
          </w:p>
          <w:p w14:paraId="076AE2E8" w14:textId="0888CC94" w:rsidR="00014BFD" w:rsidRPr="009760CB" w:rsidRDefault="00014BFD" w:rsidP="00D65A59">
            <w:pPr>
              <w:pStyle w:val="Pucess"/>
            </w:pPr>
            <w:r w:rsidRPr="009760CB">
              <w:t>Évaluation de la culture organisationnelle en matière de sécurité (p. ex., sondage auprès du personnel)</w:t>
            </w:r>
            <w:r w:rsidR="00D65A59">
              <w:t>.</w:t>
            </w:r>
          </w:p>
          <w:p w14:paraId="5570BC02" w14:textId="031CFEE5" w:rsidR="00014BFD" w:rsidRPr="009760CB" w:rsidRDefault="00014BFD" w:rsidP="00D65A59">
            <w:pPr>
              <w:pStyle w:val="Pucess"/>
            </w:pPr>
            <w:r w:rsidRPr="009760CB">
              <w:t>Évaluation des pratiques organisationnelles afin qu’elles soutiennent l’application des principes pour le déplacement sécuritaire des bénéficiaires (PDSB)</w:t>
            </w:r>
            <w:r w:rsidR="00D65A59">
              <w:t>.</w:t>
            </w:r>
          </w:p>
          <w:p w14:paraId="39BAC873" w14:textId="2B9B6A1F" w:rsidR="00014BFD" w:rsidRPr="000329F3" w:rsidRDefault="00014BFD" w:rsidP="00D65A59">
            <w:pPr>
              <w:pStyle w:val="Pucess"/>
              <w:rPr>
                <w:spacing w:val="-2"/>
              </w:rPr>
            </w:pPr>
            <w:r w:rsidRPr="009760CB">
              <w:t>Évaluation des pratiques organisationnelles pour qu’elles soutiennent le travail d’équipe.</w:t>
            </w:r>
          </w:p>
        </w:tc>
        <w:tc>
          <w:tcPr>
            <w:tcW w:w="652" w:type="dxa"/>
            <w:tcBorders>
              <w:top w:val="single" w:sz="4" w:space="0" w:color="000000"/>
              <w:left w:val="single" w:sz="4" w:space="0" w:color="000000"/>
              <w:bottom w:val="single" w:sz="4" w:space="0" w:color="000000"/>
              <w:right w:val="single" w:sz="4" w:space="0" w:color="000000"/>
            </w:tcBorders>
          </w:tcPr>
          <w:p w14:paraId="4DA8BA18" w14:textId="237A51D7" w:rsidR="00014BFD" w:rsidRPr="000329F3" w:rsidRDefault="00014BFD">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5CF80E26" w14:textId="77777777" w:rsidR="00014BFD" w:rsidRPr="000329F3" w:rsidRDefault="00014BFD">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343A312" w14:textId="77777777" w:rsidR="00014BFD" w:rsidRPr="000329F3" w:rsidRDefault="00014BFD">
            <w:pPr>
              <w:pStyle w:val="TableParagraph"/>
              <w:kinsoku w:val="0"/>
              <w:overflowPunct w:val="0"/>
              <w:rPr>
                <w:rFonts w:ascii="Times New Roman" w:hAnsi="Times New Roman" w:cs="Times New Roman"/>
                <w:sz w:val="18"/>
                <w:szCs w:val="18"/>
              </w:rPr>
            </w:pPr>
          </w:p>
        </w:tc>
      </w:tr>
      <w:tr w:rsidR="000329F3" w:rsidRPr="000329F3" w14:paraId="2DA4A56B" w14:textId="77777777" w:rsidTr="009760CB">
        <w:trPr>
          <w:trHeight w:val="227"/>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62713FAC" w14:textId="77777777" w:rsidR="000329F3" w:rsidRPr="000329F3" w:rsidRDefault="000329F3" w:rsidP="009760CB">
            <w:pPr>
              <w:pStyle w:val="Numerotation"/>
            </w:pPr>
            <w:r w:rsidRPr="000329F3">
              <w:t>Il existe un programme de déplacement sécuritaire des clients documenté.</w:t>
            </w:r>
          </w:p>
        </w:tc>
      </w:tr>
      <w:tr w:rsidR="00014BFD" w:rsidRPr="000329F3" w14:paraId="7346D1B5" w14:textId="77777777" w:rsidTr="009760CB">
        <w:trPr>
          <w:trHeight w:val="2268"/>
        </w:trPr>
        <w:tc>
          <w:tcPr>
            <w:tcW w:w="7240" w:type="dxa"/>
            <w:tcBorders>
              <w:top w:val="single" w:sz="4" w:space="0" w:color="000000"/>
              <w:left w:val="single" w:sz="4" w:space="0" w:color="000000"/>
              <w:bottom w:val="single" w:sz="4" w:space="0" w:color="000000"/>
              <w:right w:val="single" w:sz="4" w:space="0" w:color="000000"/>
            </w:tcBorders>
          </w:tcPr>
          <w:p w14:paraId="3A07244B" w14:textId="760CD0EB" w:rsidR="00014BFD" w:rsidRPr="000329F3" w:rsidRDefault="00014BFD" w:rsidP="00D65A59">
            <w:pPr>
              <w:pStyle w:val="Pucess"/>
            </w:pPr>
            <w:r w:rsidRPr="000329F3">
              <w:t>Politique écrite montrant l’engagement de la haute direction,</w:t>
            </w:r>
            <w:r w:rsidRPr="000329F3">
              <w:rPr>
                <w:spacing w:val="-24"/>
              </w:rPr>
              <w:t xml:space="preserve"> </w:t>
            </w:r>
            <w:r w:rsidRPr="000329F3">
              <w:t>les objectifs et les engagements, les définitions, les rôles et les responsabilités ainsi que l’engagement à réaliser une évaluation annuelle.</w:t>
            </w:r>
          </w:p>
          <w:p w14:paraId="3F08307B" w14:textId="0A6B425B" w:rsidR="00014BFD" w:rsidRPr="000329F3" w:rsidRDefault="00014BFD" w:rsidP="00D65A59">
            <w:pPr>
              <w:pStyle w:val="Pucess"/>
            </w:pPr>
            <w:r w:rsidRPr="000329F3">
              <w:t>Procédures écrites (p. ex., évaluation du client, communication, méthodes de travail sécuritaires relatives aux méthodes de déplacement du client, procédures sécuritaires d’utilisation de l’équipement, formation, inspection, entretien préventif, prévention et contrôle des infections, déclaration de situation dangereuse, enquête et analyse des événements accidentels, achat d’équipement et d’appareils, procédures d’urgence [p. ex., en cas de chute d’un client], évaluation et amélioration de la qualité)</w:t>
            </w:r>
            <w:r w:rsidR="00D65A59">
              <w:t>.</w:t>
            </w:r>
          </w:p>
          <w:p w14:paraId="3838B35A" w14:textId="4796A52E" w:rsidR="00014BFD" w:rsidRPr="000329F3" w:rsidRDefault="00014BFD" w:rsidP="00D65A59">
            <w:pPr>
              <w:pStyle w:val="Pucess"/>
            </w:pPr>
            <w:r w:rsidRPr="000329F3">
              <w:t>Le programme est amélioré et évalué au moins une fois par année en consultation avec le comité paritaire de santé et sécurité du travail.</w:t>
            </w:r>
          </w:p>
        </w:tc>
        <w:tc>
          <w:tcPr>
            <w:tcW w:w="652" w:type="dxa"/>
            <w:tcBorders>
              <w:top w:val="single" w:sz="4" w:space="0" w:color="000000"/>
              <w:left w:val="single" w:sz="4" w:space="0" w:color="000000"/>
              <w:bottom w:val="single" w:sz="4" w:space="0" w:color="000000"/>
              <w:right w:val="single" w:sz="4" w:space="0" w:color="000000"/>
            </w:tcBorders>
          </w:tcPr>
          <w:p w14:paraId="72456746" w14:textId="77777777" w:rsidR="00014BFD" w:rsidRPr="000329F3" w:rsidRDefault="00014BFD">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6B97D1A0" w14:textId="77777777" w:rsidR="00014BFD" w:rsidRPr="000329F3" w:rsidRDefault="00014BFD">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A51E83A" w14:textId="77777777" w:rsidR="00014BFD" w:rsidRPr="000329F3" w:rsidRDefault="00014BFD">
            <w:pPr>
              <w:pStyle w:val="TableParagraph"/>
              <w:kinsoku w:val="0"/>
              <w:overflowPunct w:val="0"/>
              <w:rPr>
                <w:rFonts w:ascii="Times New Roman" w:hAnsi="Times New Roman" w:cs="Times New Roman"/>
                <w:sz w:val="18"/>
                <w:szCs w:val="18"/>
              </w:rPr>
            </w:pPr>
          </w:p>
        </w:tc>
      </w:tr>
      <w:tr w:rsidR="00014BFD" w:rsidRPr="000329F3" w14:paraId="78A11EB8" w14:textId="77777777" w:rsidTr="009760CB">
        <w:trPr>
          <w:trHeight w:val="573"/>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26968CB7" w14:textId="52DBC29F" w:rsidR="00014BFD" w:rsidRPr="000329F3" w:rsidRDefault="00014BFD" w:rsidP="009760CB">
            <w:pPr>
              <w:pStyle w:val="Numerotation"/>
            </w:pPr>
            <w:r w:rsidRPr="000329F3">
              <w:t>Il y a un programme de formation garantissant que les soignants ont les compétences nécessaires en matière de déplacement sécuritaire des clients. Les soignants ont reçu de la formation initiale et formation continue sur :</w:t>
            </w:r>
          </w:p>
        </w:tc>
      </w:tr>
      <w:tr w:rsidR="00014BFD" w:rsidRPr="000329F3" w14:paraId="056233A3" w14:textId="77777777" w:rsidTr="009760CB">
        <w:trPr>
          <w:trHeight w:val="1776"/>
        </w:trPr>
        <w:tc>
          <w:tcPr>
            <w:tcW w:w="7240" w:type="dxa"/>
            <w:tcBorders>
              <w:top w:val="single" w:sz="4" w:space="0" w:color="000000"/>
              <w:left w:val="single" w:sz="4" w:space="0" w:color="000000"/>
              <w:bottom w:val="single" w:sz="4" w:space="0" w:color="000000"/>
              <w:right w:val="single" w:sz="4" w:space="0" w:color="000000"/>
            </w:tcBorders>
          </w:tcPr>
          <w:p w14:paraId="0AA92EA9" w14:textId="4FDD4226" w:rsidR="00014BFD" w:rsidRPr="000329F3" w:rsidRDefault="00014BFD" w:rsidP="00D65A59">
            <w:pPr>
              <w:pStyle w:val="Pucess"/>
            </w:pPr>
            <w:r w:rsidRPr="000329F3">
              <w:t>Les politiques et procédures relatives au déplacement des clients</w:t>
            </w:r>
            <w:r w:rsidR="00D65A59">
              <w:t>.</w:t>
            </w:r>
          </w:p>
          <w:p w14:paraId="176FAD37" w14:textId="763F9943" w:rsidR="00014BFD" w:rsidRPr="000329F3" w:rsidRDefault="00014BFD" w:rsidP="00D65A59">
            <w:pPr>
              <w:pStyle w:val="Pucess"/>
            </w:pPr>
            <w:r w:rsidRPr="000329F3">
              <w:t>La communication, la documentation et l’évaluation relatives à la mobilité des clients</w:t>
            </w:r>
            <w:r w:rsidR="00D65A59">
              <w:t>.</w:t>
            </w:r>
          </w:p>
          <w:p w14:paraId="3254C3B7" w14:textId="00E79EB9" w:rsidR="00014BFD" w:rsidRPr="000329F3" w:rsidRDefault="00014BFD" w:rsidP="00D65A59">
            <w:pPr>
              <w:pStyle w:val="Pucess"/>
            </w:pPr>
            <w:r w:rsidRPr="000329F3">
              <w:t>La philosophie et les méthodes de déplacement des clients autorisées par l’établissement (p. ex., transfert, soulèvement, déplacement latéral et repositionnement)</w:t>
            </w:r>
            <w:r w:rsidR="00D65A59">
              <w:t>.</w:t>
            </w:r>
          </w:p>
          <w:p w14:paraId="3CA8D0CD" w14:textId="50C0CA97" w:rsidR="00014BFD" w:rsidRPr="000329F3" w:rsidRDefault="00014BFD" w:rsidP="00D65A59">
            <w:pPr>
              <w:pStyle w:val="Pucess"/>
            </w:pPr>
            <w:r w:rsidRPr="000329F3">
              <w:t>L’équipement de déplacement des clients (p. ex., lève-personne, verticalisateur, surfaces de glissement, équipement de déplacement latéral, ceinture, planche ou disque de transfert, appareil de repositionnement au lit ou au fauteuil chaise,</w:t>
            </w:r>
            <w:r w:rsidRPr="000329F3">
              <w:rPr>
                <w:spacing w:val="3"/>
              </w:rPr>
              <w:t xml:space="preserve"> </w:t>
            </w:r>
            <w:r w:rsidRPr="000329F3">
              <w:t>etc.)</w:t>
            </w:r>
            <w:r w:rsidR="00D65A59">
              <w:t>.</w:t>
            </w:r>
          </w:p>
          <w:p w14:paraId="78E507D0" w14:textId="5E341EC4" w:rsidR="00014BFD" w:rsidRPr="000329F3" w:rsidRDefault="00014BFD" w:rsidP="00D65A59">
            <w:pPr>
              <w:pStyle w:val="Pucess"/>
            </w:pPr>
            <w:r w:rsidRPr="000329F3">
              <w:t>Les gestionnaires s’assurent que les principes pour le déplacement sécuritaire des bénéficiaires sont appliqués et respectés.</w:t>
            </w:r>
          </w:p>
        </w:tc>
        <w:tc>
          <w:tcPr>
            <w:tcW w:w="652" w:type="dxa"/>
            <w:tcBorders>
              <w:top w:val="single" w:sz="4" w:space="0" w:color="000000"/>
              <w:left w:val="single" w:sz="4" w:space="0" w:color="000000"/>
              <w:bottom w:val="single" w:sz="4" w:space="0" w:color="000000"/>
              <w:right w:val="single" w:sz="4" w:space="0" w:color="000000"/>
            </w:tcBorders>
          </w:tcPr>
          <w:p w14:paraId="0569A995" w14:textId="77777777" w:rsidR="00014BFD" w:rsidRPr="000329F3" w:rsidRDefault="00014BFD">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419B65B6" w14:textId="77777777" w:rsidR="00014BFD" w:rsidRPr="000329F3" w:rsidRDefault="00014BFD">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0199D3E2" w14:textId="77777777" w:rsidR="00014BFD" w:rsidRPr="000329F3" w:rsidRDefault="00014BFD">
            <w:pPr>
              <w:pStyle w:val="TableParagraph"/>
              <w:kinsoku w:val="0"/>
              <w:overflowPunct w:val="0"/>
              <w:rPr>
                <w:rFonts w:ascii="Times New Roman" w:hAnsi="Times New Roman" w:cs="Times New Roman"/>
                <w:sz w:val="18"/>
                <w:szCs w:val="18"/>
              </w:rPr>
            </w:pPr>
          </w:p>
        </w:tc>
      </w:tr>
      <w:tr w:rsidR="00014BFD" w:rsidRPr="000329F3" w14:paraId="67545740" w14:textId="77777777" w:rsidTr="009760CB">
        <w:trPr>
          <w:trHeight w:val="397"/>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3FFCFBCA" w14:textId="2A6FAAAC" w:rsidR="00014BFD" w:rsidRPr="000329F3" w:rsidRDefault="00014BFD" w:rsidP="009760CB">
            <w:pPr>
              <w:pStyle w:val="Numerotation"/>
            </w:pPr>
            <w:r w:rsidRPr="000329F3">
              <w:t>Une évaluation de la mobilité est effectuée dans de courts délais suivant l’admission d’un client et lorsqu’il y a un changement dans la situation ou l’état de ce dernier. Cette évaluation comprend :</w:t>
            </w:r>
          </w:p>
        </w:tc>
      </w:tr>
      <w:tr w:rsidR="00014BFD" w:rsidRPr="000329F3" w14:paraId="631C37DF" w14:textId="77777777" w:rsidTr="009760CB">
        <w:trPr>
          <w:trHeight w:val="1587"/>
        </w:trPr>
        <w:tc>
          <w:tcPr>
            <w:tcW w:w="7240" w:type="dxa"/>
            <w:tcBorders>
              <w:top w:val="single" w:sz="4" w:space="0" w:color="000000"/>
              <w:left w:val="single" w:sz="4" w:space="0" w:color="000000"/>
              <w:bottom w:val="single" w:sz="4" w:space="0" w:color="000000"/>
              <w:right w:val="single" w:sz="4" w:space="0" w:color="000000"/>
            </w:tcBorders>
          </w:tcPr>
          <w:p w14:paraId="16707485" w14:textId="0F28E338" w:rsidR="00014BFD" w:rsidRPr="000329F3" w:rsidRDefault="00014BFD" w:rsidP="00D65A59">
            <w:pPr>
              <w:pStyle w:val="Pucess"/>
            </w:pPr>
            <w:r w:rsidRPr="000329F3">
              <w:t>Communication (élocution, vision, audition, langage,</w:t>
            </w:r>
            <w:r w:rsidRPr="000329F3">
              <w:rPr>
                <w:spacing w:val="-14"/>
              </w:rPr>
              <w:t xml:space="preserve"> </w:t>
            </w:r>
            <w:r w:rsidRPr="000329F3">
              <w:t>compréhension)</w:t>
            </w:r>
            <w:r w:rsidR="00D65A59">
              <w:t>.</w:t>
            </w:r>
          </w:p>
          <w:p w14:paraId="7332D633" w14:textId="2EA18A8D" w:rsidR="00014BFD" w:rsidRPr="000329F3" w:rsidRDefault="00014BFD" w:rsidP="00D65A59">
            <w:pPr>
              <w:pStyle w:val="Pucess"/>
            </w:pPr>
            <w:r w:rsidRPr="000329F3">
              <w:t>Cognition (mémoire, jugement, concentration,</w:t>
            </w:r>
            <w:r w:rsidRPr="000329F3">
              <w:rPr>
                <w:spacing w:val="-2"/>
              </w:rPr>
              <w:t xml:space="preserve"> </w:t>
            </w:r>
            <w:r w:rsidRPr="000329F3">
              <w:t>prise de décision)</w:t>
            </w:r>
            <w:r w:rsidR="00D65A59">
              <w:t>.</w:t>
            </w:r>
          </w:p>
          <w:p w14:paraId="0050521A" w14:textId="064D0756" w:rsidR="00014BFD" w:rsidRPr="000329F3" w:rsidRDefault="00014BFD" w:rsidP="00D65A59">
            <w:pPr>
              <w:pStyle w:val="Pucess"/>
            </w:pPr>
            <w:r w:rsidRPr="000329F3">
              <w:t>Comportement et état affectif (niveau de coopération)</w:t>
            </w:r>
            <w:r w:rsidR="00D65A59">
              <w:t>.</w:t>
            </w:r>
          </w:p>
          <w:p w14:paraId="246A4E65" w14:textId="541F25FD" w:rsidR="00014BFD" w:rsidRPr="000329F3" w:rsidRDefault="00014BFD" w:rsidP="00D65A59">
            <w:pPr>
              <w:pStyle w:val="Pucess"/>
            </w:pPr>
            <w:r w:rsidRPr="000329F3">
              <w:t>État de santé (état, prothèses, douleur, médication, peau,</w:t>
            </w:r>
            <w:r w:rsidRPr="000329F3">
              <w:rPr>
                <w:spacing w:val="-14"/>
              </w:rPr>
              <w:t xml:space="preserve"> </w:t>
            </w:r>
            <w:r w:rsidRPr="000329F3">
              <w:t>fatigue)</w:t>
            </w:r>
            <w:r w:rsidR="00D65A59">
              <w:t>.</w:t>
            </w:r>
          </w:p>
          <w:p w14:paraId="1D4E2CD8" w14:textId="4A013A25" w:rsidR="00014BFD" w:rsidRPr="000329F3" w:rsidRDefault="00014BFD" w:rsidP="00D65A59">
            <w:pPr>
              <w:pStyle w:val="Pucess"/>
            </w:pPr>
            <w:r w:rsidRPr="000329F3">
              <w:t>État physique (taille, poids, sensibilité, amplitudes articulaires, force et tonus musculaires, mobilité et équilibre, capacité de mise en charge)</w:t>
            </w:r>
            <w:r w:rsidR="00D65A59">
              <w:t>.</w:t>
            </w:r>
          </w:p>
          <w:p w14:paraId="5B1B2C84" w14:textId="77777777" w:rsidR="00014BFD" w:rsidRPr="000329F3" w:rsidRDefault="00014BFD" w:rsidP="00D65A59">
            <w:pPr>
              <w:pStyle w:val="Pucess"/>
            </w:pPr>
            <w:r w:rsidRPr="000329F3">
              <w:t xml:space="preserve">Vêtements et chaussures appropriés pour le déplacement du client </w:t>
            </w:r>
          </w:p>
          <w:p w14:paraId="3C8799D2" w14:textId="2C20721D" w:rsidR="00014BFD" w:rsidRPr="000329F3" w:rsidRDefault="00014BFD" w:rsidP="00D65A59">
            <w:pPr>
              <w:pStyle w:val="Pucess"/>
            </w:pPr>
            <w:r w:rsidRPr="000329F3">
              <w:t>Autres (en fonction des besoins)</w:t>
            </w:r>
            <w:r w:rsidR="00D65A59">
              <w:t>.</w:t>
            </w:r>
          </w:p>
        </w:tc>
        <w:tc>
          <w:tcPr>
            <w:tcW w:w="652" w:type="dxa"/>
            <w:tcBorders>
              <w:top w:val="single" w:sz="4" w:space="0" w:color="000000"/>
              <w:left w:val="single" w:sz="4" w:space="0" w:color="000000"/>
              <w:bottom w:val="single" w:sz="4" w:space="0" w:color="000000"/>
              <w:right w:val="single" w:sz="4" w:space="0" w:color="000000"/>
            </w:tcBorders>
          </w:tcPr>
          <w:p w14:paraId="3924ED46" w14:textId="77777777" w:rsidR="00014BFD" w:rsidRPr="000329F3" w:rsidRDefault="00014BFD">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58AF640E" w14:textId="77777777" w:rsidR="00014BFD" w:rsidRPr="000329F3" w:rsidRDefault="00014BFD">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B9E4DD1" w14:textId="77777777" w:rsidR="00014BFD" w:rsidRPr="000329F3" w:rsidRDefault="00014BFD">
            <w:pPr>
              <w:pStyle w:val="TableParagraph"/>
              <w:kinsoku w:val="0"/>
              <w:overflowPunct w:val="0"/>
              <w:rPr>
                <w:rFonts w:ascii="Times New Roman" w:hAnsi="Times New Roman" w:cs="Times New Roman"/>
                <w:sz w:val="18"/>
                <w:szCs w:val="18"/>
              </w:rPr>
            </w:pPr>
          </w:p>
        </w:tc>
      </w:tr>
    </w:tbl>
    <w:p w14:paraId="12C3E09E" w14:textId="77777777" w:rsidR="00D65A59" w:rsidRDefault="00D65A59">
      <w:pPr>
        <w:sectPr w:rsidR="00D65A59" w:rsidSect="009760CB">
          <w:headerReference w:type="default" r:id="rId8"/>
          <w:footerReference w:type="default" r:id="rId9"/>
          <w:pgSz w:w="12240" w:h="15840"/>
          <w:pgMar w:top="1418" w:right="851" w:bottom="851" w:left="851" w:header="567" w:footer="284" w:gutter="0"/>
          <w:cols w:space="720"/>
          <w:noEndnote/>
          <w:docGrid w:linePitch="299"/>
        </w:sectPr>
      </w:pPr>
    </w:p>
    <w:tbl>
      <w:tblPr>
        <w:tblW w:w="10528" w:type="dxa"/>
        <w:tblLayout w:type="fixed"/>
        <w:tblCellMar>
          <w:left w:w="28" w:type="dxa"/>
          <w:right w:w="28" w:type="dxa"/>
        </w:tblCellMar>
        <w:tblLook w:val="0000" w:firstRow="0" w:lastRow="0" w:firstColumn="0" w:lastColumn="0" w:noHBand="0" w:noVBand="0"/>
      </w:tblPr>
      <w:tblGrid>
        <w:gridCol w:w="7240"/>
        <w:gridCol w:w="652"/>
        <w:gridCol w:w="652"/>
        <w:gridCol w:w="1984"/>
      </w:tblGrid>
      <w:tr w:rsidR="00014BFD" w:rsidRPr="000329F3" w14:paraId="0902F723" w14:textId="77777777" w:rsidTr="009760CB">
        <w:trPr>
          <w:trHeight w:val="454"/>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087198E3" w14:textId="77777777" w:rsidR="00014BFD" w:rsidRPr="000329F3" w:rsidRDefault="00014BFD" w:rsidP="009760CB">
            <w:pPr>
              <w:pStyle w:val="Numerotation"/>
            </w:pPr>
            <w:r w:rsidRPr="000329F3">
              <w:lastRenderedPageBreak/>
              <w:t>Les évaluations relatives à la mobilité des clients sont documentées et communiquées aux soignants, de la manière suivante :</w:t>
            </w:r>
          </w:p>
        </w:tc>
      </w:tr>
      <w:tr w:rsidR="00FC5110" w:rsidRPr="000329F3" w14:paraId="4FF62F95" w14:textId="77777777" w:rsidTr="009760CB">
        <w:trPr>
          <w:trHeight w:val="567"/>
        </w:trPr>
        <w:tc>
          <w:tcPr>
            <w:tcW w:w="7240" w:type="dxa"/>
            <w:tcBorders>
              <w:top w:val="single" w:sz="4" w:space="0" w:color="000000"/>
              <w:left w:val="single" w:sz="4" w:space="0" w:color="000000"/>
              <w:bottom w:val="single" w:sz="4" w:space="0" w:color="000000"/>
              <w:right w:val="single" w:sz="4" w:space="0" w:color="000000"/>
            </w:tcBorders>
          </w:tcPr>
          <w:p w14:paraId="287E939A" w14:textId="73C67FC0" w:rsidR="00FC5110" w:rsidRPr="000329F3" w:rsidRDefault="00FC5110" w:rsidP="00D65A59">
            <w:pPr>
              <w:pStyle w:val="Pucess"/>
            </w:pPr>
            <w:r w:rsidRPr="000329F3">
              <w:t>Dossier, plan de soins, plan de travail, SMAF, autres méthodes</w:t>
            </w:r>
            <w:r w:rsidR="00D65A59">
              <w:t>.</w:t>
            </w:r>
          </w:p>
          <w:p w14:paraId="1AF146C6" w14:textId="211FD1F4" w:rsidR="00FC5110" w:rsidRPr="000329F3" w:rsidRDefault="00FC5110" w:rsidP="00D65A59">
            <w:pPr>
              <w:pStyle w:val="Pucess"/>
            </w:pPr>
            <w:r w:rsidRPr="000329F3">
              <w:t>Pictogrammes sur le déplacement des clients</w:t>
            </w:r>
            <w:r w:rsidR="00D65A59">
              <w:t>.</w:t>
            </w:r>
          </w:p>
          <w:p w14:paraId="3534ECE0" w14:textId="5CC63204" w:rsidR="00FC5110" w:rsidRPr="000329F3" w:rsidRDefault="00FC5110" w:rsidP="00D65A59">
            <w:pPr>
              <w:pStyle w:val="Pucess"/>
            </w:pPr>
            <w:r w:rsidRPr="000329F3">
              <w:t>Verbalement</w:t>
            </w:r>
            <w:r w:rsidR="00D65A59">
              <w:t>.</w:t>
            </w:r>
          </w:p>
        </w:tc>
        <w:tc>
          <w:tcPr>
            <w:tcW w:w="652" w:type="dxa"/>
            <w:tcBorders>
              <w:top w:val="single" w:sz="4" w:space="0" w:color="000000"/>
              <w:left w:val="single" w:sz="4" w:space="0" w:color="000000"/>
              <w:bottom w:val="single" w:sz="4" w:space="0" w:color="000000"/>
              <w:right w:val="single" w:sz="4" w:space="0" w:color="000000"/>
            </w:tcBorders>
          </w:tcPr>
          <w:p w14:paraId="4A702A23"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4C0D559C"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69A13CB" w14:textId="77777777" w:rsidR="00FC5110" w:rsidRPr="000329F3" w:rsidRDefault="00FC5110" w:rsidP="00FC5110">
            <w:pPr>
              <w:pStyle w:val="TableParagraph"/>
              <w:kinsoku w:val="0"/>
              <w:overflowPunct w:val="0"/>
              <w:rPr>
                <w:rFonts w:ascii="Times New Roman" w:hAnsi="Times New Roman" w:cs="Times New Roman"/>
                <w:sz w:val="18"/>
                <w:szCs w:val="18"/>
              </w:rPr>
            </w:pPr>
          </w:p>
        </w:tc>
      </w:tr>
      <w:tr w:rsidR="00FC5110" w:rsidRPr="000329F3" w14:paraId="045FD2A5" w14:textId="77777777" w:rsidTr="009760CB">
        <w:trPr>
          <w:trHeight w:val="454"/>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49F2D846" w14:textId="2CFD417E" w:rsidR="00FC5110" w:rsidRPr="000329F3" w:rsidRDefault="00FC5110" w:rsidP="009760CB">
            <w:pPr>
              <w:pStyle w:val="Numerotation"/>
            </w:pPr>
            <w:r w:rsidRPr="000329F3">
              <w:t>Le soignant réalise une évaluation de la situation de travail et une évaluation spontanée des capacités du client pour prendre note de tout changement</w:t>
            </w:r>
          </w:p>
        </w:tc>
      </w:tr>
      <w:tr w:rsidR="009760CB" w:rsidRPr="000329F3" w14:paraId="4108F203" w14:textId="77777777" w:rsidTr="009760CB">
        <w:trPr>
          <w:trHeight w:val="964"/>
        </w:trPr>
        <w:tc>
          <w:tcPr>
            <w:tcW w:w="7240" w:type="dxa"/>
            <w:tcBorders>
              <w:top w:val="single" w:sz="4" w:space="0" w:color="000000"/>
              <w:left w:val="single" w:sz="4" w:space="0" w:color="000000"/>
              <w:bottom w:val="single" w:sz="4" w:space="0" w:color="000000"/>
              <w:right w:val="single" w:sz="4" w:space="0" w:color="000000"/>
            </w:tcBorders>
          </w:tcPr>
          <w:p w14:paraId="60EFD821" w14:textId="3A799C05" w:rsidR="00FC5110" w:rsidRPr="000329F3" w:rsidRDefault="00FC5110" w:rsidP="00D65A59">
            <w:pPr>
              <w:pStyle w:val="Pucess"/>
            </w:pPr>
            <w:r w:rsidRPr="000329F3">
              <w:t>Changement sur le plan de la</w:t>
            </w:r>
            <w:r w:rsidRPr="000329F3">
              <w:rPr>
                <w:spacing w:val="-7"/>
              </w:rPr>
              <w:t xml:space="preserve"> </w:t>
            </w:r>
            <w:r w:rsidRPr="000329F3">
              <w:t>communication et de l’attention</w:t>
            </w:r>
            <w:r w:rsidR="00D65A59">
              <w:t>.</w:t>
            </w:r>
          </w:p>
          <w:p w14:paraId="6C434938" w14:textId="66633A1D" w:rsidR="00FC5110" w:rsidRPr="000329F3" w:rsidRDefault="00FC5110" w:rsidP="00D65A59">
            <w:pPr>
              <w:pStyle w:val="Pucess"/>
            </w:pPr>
            <w:r w:rsidRPr="000329F3">
              <w:t>Changement dans les capacités à bouger les membres supérieurs, les membres inférieurs et à conserver l’équilibre en position assise</w:t>
            </w:r>
            <w:r w:rsidR="00D65A59">
              <w:t>.</w:t>
            </w:r>
          </w:p>
          <w:p w14:paraId="6C5CE460" w14:textId="07B9639F" w:rsidR="00FC5110" w:rsidRPr="000329F3" w:rsidRDefault="00FC5110" w:rsidP="00D65A59">
            <w:pPr>
              <w:pStyle w:val="Pucess"/>
            </w:pPr>
            <w:r w:rsidRPr="000329F3">
              <w:t>Changement en ce qui concerne la résistance ou la coopération</w:t>
            </w:r>
            <w:r w:rsidR="00D65A59">
              <w:t>.</w:t>
            </w:r>
          </w:p>
          <w:p w14:paraId="42B21A9B" w14:textId="6E2F929E" w:rsidR="00FC5110" w:rsidRPr="000329F3" w:rsidRDefault="00FC5110" w:rsidP="00D65A59">
            <w:pPr>
              <w:pStyle w:val="Pucess"/>
            </w:pPr>
            <w:r w:rsidRPr="000329F3">
              <w:t>Changement relatif à l’équipement et à l’environnement</w:t>
            </w:r>
            <w:r w:rsidR="00D65A59">
              <w:t>.</w:t>
            </w:r>
          </w:p>
        </w:tc>
        <w:tc>
          <w:tcPr>
            <w:tcW w:w="652" w:type="dxa"/>
            <w:tcBorders>
              <w:top w:val="single" w:sz="4" w:space="0" w:color="000000"/>
              <w:left w:val="single" w:sz="4" w:space="0" w:color="000000"/>
              <w:bottom w:val="single" w:sz="4" w:space="0" w:color="000000"/>
              <w:right w:val="single" w:sz="4" w:space="0" w:color="000000"/>
            </w:tcBorders>
          </w:tcPr>
          <w:p w14:paraId="45B37D28"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11D54100"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D2B4BD5" w14:textId="77777777" w:rsidR="00FC5110" w:rsidRPr="000329F3" w:rsidRDefault="00FC5110" w:rsidP="00FC5110">
            <w:pPr>
              <w:pStyle w:val="TableParagraph"/>
              <w:kinsoku w:val="0"/>
              <w:overflowPunct w:val="0"/>
              <w:rPr>
                <w:rFonts w:ascii="Times New Roman" w:hAnsi="Times New Roman" w:cs="Times New Roman"/>
                <w:sz w:val="18"/>
                <w:szCs w:val="18"/>
              </w:rPr>
            </w:pPr>
          </w:p>
        </w:tc>
      </w:tr>
      <w:tr w:rsidR="00FC5110" w:rsidRPr="000329F3" w14:paraId="1F5DEF6D" w14:textId="77777777" w:rsidTr="009760CB">
        <w:trPr>
          <w:trHeight w:val="227"/>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1EF7B16A" w14:textId="410C413E" w:rsidR="00FC5110" w:rsidRPr="00014BFD" w:rsidRDefault="00FC5110" w:rsidP="009760CB">
            <w:pPr>
              <w:pStyle w:val="Numerotation"/>
            </w:pPr>
            <w:r w:rsidRPr="00014BFD">
              <w:t>Des équipements sont fournis en tout temps pour faciliter le déplacement sécuritaire des clients.</w:t>
            </w:r>
          </w:p>
        </w:tc>
      </w:tr>
      <w:tr w:rsidR="00FC5110" w:rsidRPr="000329F3" w14:paraId="5062244C" w14:textId="77777777" w:rsidTr="009760CB">
        <w:trPr>
          <w:trHeight w:val="4309"/>
        </w:trPr>
        <w:tc>
          <w:tcPr>
            <w:tcW w:w="7240" w:type="dxa"/>
            <w:tcBorders>
              <w:top w:val="single" w:sz="4" w:space="0" w:color="000000"/>
              <w:left w:val="single" w:sz="4" w:space="0" w:color="000000"/>
              <w:bottom w:val="single" w:sz="4" w:space="0" w:color="000000"/>
              <w:right w:val="single" w:sz="4" w:space="0" w:color="000000"/>
            </w:tcBorders>
          </w:tcPr>
          <w:p w14:paraId="55878C41" w14:textId="7F8203AE" w:rsidR="00FC5110" w:rsidRPr="009760CB" w:rsidRDefault="00FC5110" w:rsidP="00D65A59">
            <w:pPr>
              <w:pStyle w:val="Pucess"/>
            </w:pPr>
            <w:r w:rsidRPr="000329F3">
              <w:t xml:space="preserve">L’achat d’équipement est basé sur l’évaluation des besoins en mobilité d’un client, </w:t>
            </w:r>
            <w:r w:rsidRPr="009760CB">
              <w:t>des critères d’achats définis et d’un processus consultatif auprès des soignants et du comité paritaire de santé et sécurité du travail.</w:t>
            </w:r>
          </w:p>
          <w:p w14:paraId="3E0E2391" w14:textId="387D61E4" w:rsidR="00FC5110" w:rsidRPr="009760CB" w:rsidRDefault="00FC5110" w:rsidP="00D65A59">
            <w:pPr>
              <w:pStyle w:val="Pucess"/>
            </w:pPr>
            <w:r w:rsidRPr="009760CB">
              <w:t>Les équipements retenus sont mis à l’essai en milieu de travail et évalués par les soignants.</w:t>
            </w:r>
          </w:p>
          <w:p w14:paraId="3F2E4716" w14:textId="1EB0F52C" w:rsidR="00FC5110" w:rsidRPr="009760CB" w:rsidRDefault="00FC5110" w:rsidP="00D65A59">
            <w:pPr>
              <w:pStyle w:val="Pucess"/>
            </w:pPr>
            <w:r w:rsidRPr="009760CB">
              <w:t>Des équipements spécialisés pour la clientèle bariatrique sont disponibles.</w:t>
            </w:r>
          </w:p>
          <w:p w14:paraId="7DD5F4A8" w14:textId="5A1A2A63" w:rsidR="00FC5110" w:rsidRPr="000329F3" w:rsidRDefault="00FC5110" w:rsidP="00D65A59">
            <w:pPr>
              <w:pStyle w:val="Pucess"/>
            </w:pPr>
            <w:r w:rsidRPr="009760CB">
              <w:t>L’équipement</w:t>
            </w:r>
            <w:r w:rsidRPr="000329F3">
              <w:t xml:space="preserve"> respecte les normes telles que CSA Z10535.1 :15 et CSA Z10535.2 :17.</w:t>
            </w:r>
          </w:p>
          <w:p w14:paraId="38D8F40D" w14:textId="49EE3994" w:rsidR="00FC5110" w:rsidRPr="000329F3" w:rsidRDefault="00FC5110" w:rsidP="00D65A59">
            <w:pPr>
              <w:pStyle w:val="Pucess"/>
            </w:pPr>
            <w:r w:rsidRPr="000329F3">
              <w:t>Un nombre adéquat d’équipements ont été achetés et sont disponibles.</w:t>
            </w:r>
          </w:p>
          <w:p w14:paraId="1417DCB3" w14:textId="77777777" w:rsidR="00FC5110" w:rsidRPr="000329F3" w:rsidRDefault="00FC5110" w:rsidP="00D65A59">
            <w:pPr>
              <w:pStyle w:val="Pucess"/>
            </w:pPr>
            <w:r w:rsidRPr="000329F3">
              <w:t>On effectue régulièrement un inventaire de l’équipement.</w:t>
            </w:r>
          </w:p>
          <w:p w14:paraId="727A88AE" w14:textId="14BC52D6" w:rsidR="00FC5110" w:rsidRPr="000329F3" w:rsidRDefault="00FC5110" w:rsidP="00D65A59">
            <w:pPr>
              <w:pStyle w:val="Pucess"/>
            </w:pPr>
            <w:r w:rsidRPr="000329F3">
              <w:t>On a mis en place un processus d’inspection avant la mise en service de l’équipement, c’est-à-dire avant la première utilisation.</w:t>
            </w:r>
          </w:p>
          <w:p w14:paraId="61DA6A41" w14:textId="4EE28033" w:rsidR="00FC5110" w:rsidRPr="000329F3" w:rsidRDefault="00FC5110" w:rsidP="00D65A59">
            <w:pPr>
              <w:pStyle w:val="Pucess"/>
            </w:pPr>
            <w:r w:rsidRPr="000329F3">
              <w:t>Il existe un programme écrit d’entretien préventif de l’équipement selon les exigences du fabricant, y compris un inventaire et un calendrier (p. ex., piles, toiles, équipement et</w:t>
            </w:r>
            <w:r w:rsidRPr="000329F3">
              <w:rPr>
                <w:spacing w:val="-8"/>
              </w:rPr>
              <w:t xml:space="preserve"> p</w:t>
            </w:r>
            <w:r w:rsidRPr="000329F3">
              <w:t>ièces de rechange).</w:t>
            </w:r>
          </w:p>
          <w:p w14:paraId="132B20F3" w14:textId="112F6EA1" w:rsidR="00FC5110" w:rsidRPr="000329F3" w:rsidRDefault="00FC5110" w:rsidP="00D65A59">
            <w:pPr>
              <w:pStyle w:val="Pucess"/>
            </w:pPr>
            <w:r w:rsidRPr="000329F3">
              <w:t>Les soignants effectuent une inspection visuelle de la toile de lève-personne avant chaque utilisation.</w:t>
            </w:r>
          </w:p>
          <w:p w14:paraId="789BBBE0" w14:textId="567F5F9C" w:rsidR="00FC5110" w:rsidRPr="000329F3" w:rsidRDefault="00FC5110" w:rsidP="00D65A59">
            <w:pPr>
              <w:pStyle w:val="Pucess"/>
            </w:pPr>
            <w:r w:rsidRPr="000329F3">
              <w:t>On a mis en place une politique et des procédures pour la réparation d’équipement défectueux.</w:t>
            </w:r>
          </w:p>
          <w:p w14:paraId="09838A06" w14:textId="5BEEBBA5" w:rsidR="00FC5110" w:rsidRPr="000329F3" w:rsidRDefault="00FC5110" w:rsidP="00D65A59">
            <w:pPr>
              <w:pStyle w:val="Pucess"/>
            </w:pPr>
            <w:r w:rsidRPr="000329F3">
              <w:t xml:space="preserve">Les politiques et procédures de prêt d’équipement à domicile incluent l’inspection et l’entretien préventifs. </w:t>
            </w:r>
          </w:p>
        </w:tc>
        <w:tc>
          <w:tcPr>
            <w:tcW w:w="652" w:type="dxa"/>
            <w:tcBorders>
              <w:top w:val="single" w:sz="4" w:space="0" w:color="000000"/>
              <w:left w:val="single" w:sz="4" w:space="0" w:color="000000"/>
              <w:bottom w:val="single" w:sz="4" w:space="0" w:color="000000"/>
              <w:right w:val="single" w:sz="4" w:space="0" w:color="000000"/>
            </w:tcBorders>
          </w:tcPr>
          <w:p w14:paraId="1652AF38"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7D18C32B"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A0441EE" w14:textId="77777777" w:rsidR="00FC5110" w:rsidRPr="000329F3" w:rsidRDefault="00FC5110" w:rsidP="00FC5110">
            <w:pPr>
              <w:pStyle w:val="TableParagraph"/>
              <w:kinsoku w:val="0"/>
              <w:overflowPunct w:val="0"/>
              <w:rPr>
                <w:rFonts w:ascii="Times New Roman" w:hAnsi="Times New Roman" w:cs="Times New Roman"/>
                <w:sz w:val="18"/>
                <w:szCs w:val="18"/>
              </w:rPr>
            </w:pPr>
          </w:p>
        </w:tc>
      </w:tr>
      <w:tr w:rsidR="00FC5110" w:rsidRPr="000329F3" w14:paraId="247F9237" w14:textId="77777777" w:rsidTr="009760CB">
        <w:trPr>
          <w:trHeight w:val="454"/>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79EA16F4" w14:textId="4F349ACF" w:rsidR="00FC5110" w:rsidRPr="000329F3" w:rsidRDefault="00FC5110" w:rsidP="009760CB">
            <w:pPr>
              <w:pStyle w:val="Numerotation"/>
            </w:pPr>
            <w:r w:rsidRPr="000329F3">
              <w:t>La conception et planification du milieu de travail prennent en compte le déplacement sécuritaire des clients.</w:t>
            </w:r>
          </w:p>
        </w:tc>
      </w:tr>
      <w:tr w:rsidR="00FC5110" w:rsidRPr="000329F3" w14:paraId="0A7F88EF" w14:textId="77777777" w:rsidTr="009760CB">
        <w:trPr>
          <w:trHeight w:val="984"/>
        </w:trPr>
        <w:tc>
          <w:tcPr>
            <w:tcW w:w="7240" w:type="dxa"/>
            <w:tcBorders>
              <w:top w:val="single" w:sz="4" w:space="0" w:color="000000"/>
              <w:left w:val="single" w:sz="4" w:space="0" w:color="000000"/>
              <w:bottom w:val="single" w:sz="4" w:space="0" w:color="000000"/>
              <w:right w:val="single" w:sz="4" w:space="0" w:color="000000"/>
            </w:tcBorders>
          </w:tcPr>
          <w:p w14:paraId="57F9C98C" w14:textId="6E925A53" w:rsidR="00FC5110" w:rsidRPr="009760CB" w:rsidRDefault="00FC5110" w:rsidP="00D65A59">
            <w:pPr>
              <w:pStyle w:val="Pucess"/>
            </w:pPr>
            <w:r w:rsidRPr="009760CB">
              <w:t>L’impact de l’environnement de travail sur la santé et la sécurité du travail est pris en compte (p. ex., surfaces de plancher appropriées pour l’équipement, éclairage adéquat, température confortable, couleurs contrastées des surfaces pour améliorer la perception de la profondeur du client).</w:t>
            </w:r>
          </w:p>
          <w:p w14:paraId="7FA01B88" w14:textId="2185A9BD" w:rsidR="00FC5110" w:rsidRPr="009760CB" w:rsidRDefault="00FC5110" w:rsidP="00D65A59">
            <w:pPr>
              <w:pStyle w:val="Pucess"/>
            </w:pPr>
            <w:r w:rsidRPr="009760CB">
              <w:t>Des aménagements spécifiques sont prévus pour la clientèle bariatrique.</w:t>
            </w:r>
          </w:p>
          <w:p w14:paraId="7036B0A5" w14:textId="6FB968DC" w:rsidR="00FC5110" w:rsidRPr="000329F3" w:rsidRDefault="00FC5110" w:rsidP="00D65A59">
            <w:pPr>
              <w:pStyle w:val="Pucess"/>
            </w:pPr>
            <w:r w:rsidRPr="009760CB">
              <w:t>L’aménagement</w:t>
            </w:r>
            <w:r w:rsidRPr="000329F3">
              <w:t xml:space="preserve"> des postes de travail et les dégagements minimaux requis au soignant, au client et à l’équipement sont pris en compte (p. ex., chambre du client, salle de bain, salle équipée d’une baignoire et salle de douche).</w:t>
            </w:r>
          </w:p>
        </w:tc>
        <w:tc>
          <w:tcPr>
            <w:tcW w:w="652" w:type="dxa"/>
            <w:tcBorders>
              <w:top w:val="single" w:sz="4" w:space="0" w:color="000000"/>
              <w:left w:val="single" w:sz="4" w:space="0" w:color="000000"/>
              <w:bottom w:val="single" w:sz="4" w:space="0" w:color="000000"/>
              <w:right w:val="single" w:sz="4" w:space="0" w:color="000000"/>
            </w:tcBorders>
          </w:tcPr>
          <w:p w14:paraId="7D2395C3"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5935425D"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B3FD29C" w14:textId="77777777" w:rsidR="00FC5110" w:rsidRPr="000329F3" w:rsidRDefault="00FC5110" w:rsidP="00FC5110">
            <w:pPr>
              <w:pStyle w:val="TableParagraph"/>
              <w:kinsoku w:val="0"/>
              <w:overflowPunct w:val="0"/>
              <w:rPr>
                <w:rFonts w:ascii="Times New Roman" w:hAnsi="Times New Roman" w:cs="Times New Roman"/>
                <w:sz w:val="18"/>
                <w:szCs w:val="18"/>
              </w:rPr>
            </w:pPr>
          </w:p>
        </w:tc>
      </w:tr>
      <w:tr w:rsidR="00FC5110" w:rsidRPr="000329F3" w14:paraId="254D79E8" w14:textId="77777777" w:rsidTr="009760CB">
        <w:tblPrEx>
          <w:tblCellMar>
            <w:left w:w="57" w:type="dxa"/>
            <w:right w:w="57" w:type="dxa"/>
          </w:tblCellMar>
        </w:tblPrEx>
        <w:trPr>
          <w:trHeight w:val="227"/>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0FC57606" w14:textId="374559C8" w:rsidR="00FC5110" w:rsidRPr="00014BFD" w:rsidRDefault="00FC5110" w:rsidP="009760CB">
            <w:pPr>
              <w:pStyle w:val="Numerotation"/>
            </w:pPr>
            <w:r w:rsidRPr="009760CB">
              <w:t>Gestion des accidents</w:t>
            </w:r>
            <w:r w:rsidRPr="00014BFD">
              <w:t xml:space="preserve"> et incidents</w:t>
            </w:r>
          </w:p>
        </w:tc>
      </w:tr>
      <w:tr w:rsidR="00FC5110" w:rsidRPr="000329F3" w14:paraId="475483C5" w14:textId="77777777" w:rsidTr="009760CB">
        <w:tblPrEx>
          <w:tblCellMar>
            <w:left w:w="57" w:type="dxa"/>
            <w:right w:w="57" w:type="dxa"/>
          </w:tblCellMar>
        </w:tblPrEx>
        <w:trPr>
          <w:trHeight w:val="1495"/>
        </w:trPr>
        <w:tc>
          <w:tcPr>
            <w:tcW w:w="7240" w:type="dxa"/>
            <w:tcBorders>
              <w:top w:val="single" w:sz="4" w:space="0" w:color="000000"/>
              <w:left w:val="single" w:sz="4" w:space="0" w:color="000000"/>
              <w:bottom w:val="single" w:sz="4" w:space="0" w:color="000000"/>
              <w:right w:val="single" w:sz="4" w:space="0" w:color="000000"/>
            </w:tcBorders>
          </w:tcPr>
          <w:p w14:paraId="4B96F080" w14:textId="458EB663" w:rsidR="00FC5110" w:rsidRPr="000329F3" w:rsidRDefault="00FC5110" w:rsidP="00D65A59">
            <w:pPr>
              <w:pStyle w:val="Pucess"/>
            </w:pPr>
            <w:r w:rsidRPr="000329F3">
              <w:t>Les incidents et accidents liés aux soignants sont signalés et font l’objet d’une enquête et analyse d’un événement accidentel afin de repérer les causes immédiates et fondamentales et de mettre en œuvre les mesures correctives et préventives appropriées.</w:t>
            </w:r>
          </w:p>
          <w:p w14:paraId="18569D81" w14:textId="3FE43525" w:rsidR="00FC5110" w:rsidRPr="000329F3" w:rsidRDefault="00FC5110" w:rsidP="00D65A59">
            <w:pPr>
              <w:pStyle w:val="Pucess"/>
            </w:pPr>
            <w:r w:rsidRPr="000329F3">
              <w:t>Les incidents et accidents liés aux patients sont signalés au moyen du formulaire AH223 et enquêtés par la gestion des risques.</w:t>
            </w:r>
          </w:p>
          <w:p w14:paraId="789537F6" w14:textId="77777777" w:rsidR="00FC5110" w:rsidRPr="000329F3" w:rsidRDefault="00FC5110" w:rsidP="00D65A59">
            <w:pPr>
              <w:pStyle w:val="Pucess"/>
              <w:rPr>
                <w:szCs w:val="20"/>
              </w:rPr>
            </w:pPr>
            <w:r w:rsidRPr="000329F3">
              <w:t>L’équipement défectueux, les dommages et les bris sont signalés au fabricant et, le cas échéant, à Santé Canada (p. ex., défaillance d’un dispositif mécanique de levage).</w:t>
            </w:r>
          </w:p>
        </w:tc>
        <w:tc>
          <w:tcPr>
            <w:tcW w:w="652" w:type="dxa"/>
            <w:tcBorders>
              <w:top w:val="single" w:sz="4" w:space="0" w:color="000000"/>
              <w:left w:val="single" w:sz="4" w:space="0" w:color="000000"/>
              <w:bottom w:val="single" w:sz="4" w:space="0" w:color="000000"/>
              <w:right w:val="single" w:sz="4" w:space="0" w:color="000000"/>
            </w:tcBorders>
          </w:tcPr>
          <w:p w14:paraId="0F90D3ED"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421EF2CE"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8559C28" w14:textId="77777777" w:rsidR="00FC5110" w:rsidRPr="000329F3" w:rsidRDefault="00FC5110" w:rsidP="00FC5110">
            <w:pPr>
              <w:pStyle w:val="TableParagraph"/>
              <w:kinsoku w:val="0"/>
              <w:overflowPunct w:val="0"/>
              <w:rPr>
                <w:rFonts w:ascii="Times New Roman" w:hAnsi="Times New Roman" w:cs="Times New Roman"/>
                <w:sz w:val="18"/>
                <w:szCs w:val="18"/>
              </w:rPr>
            </w:pPr>
          </w:p>
        </w:tc>
      </w:tr>
      <w:tr w:rsidR="00FC5110" w:rsidRPr="000329F3" w14:paraId="362887D6" w14:textId="77777777" w:rsidTr="009760CB">
        <w:tblPrEx>
          <w:tblCellMar>
            <w:left w:w="57" w:type="dxa"/>
            <w:right w:w="57" w:type="dxa"/>
          </w:tblCellMar>
        </w:tblPrEx>
        <w:trPr>
          <w:trHeight w:val="170"/>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808080"/>
          </w:tcPr>
          <w:p w14:paraId="68984F56" w14:textId="77777777" w:rsidR="00FC5110" w:rsidRPr="000329F3" w:rsidRDefault="00FC5110" w:rsidP="009760CB">
            <w:pPr>
              <w:pStyle w:val="Numerotation"/>
            </w:pPr>
            <w:r w:rsidRPr="000329F3">
              <w:t>Évaluation du programme</w:t>
            </w:r>
          </w:p>
        </w:tc>
      </w:tr>
      <w:tr w:rsidR="00FC5110" w:rsidRPr="000329F3" w14:paraId="1FC0FAC1" w14:textId="77777777" w:rsidTr="009760CB">
        <w:tblPrEx>
          <w:tblCellMar>
            <w:left w:w="57" w:type="dxa"/>
            <w:right w:w="57" w:type="dxa"/>
          </w:tblCellMar>
        </w:tblPrEx>
        <w:trPr>
          <w:trHeight w:val="1247"/>
        </w:trPr>
        <w:tc>
          <w:tcPr>
            <w:tcW w:w="7240" w:type="dxa"/>
            <w:tcBorders>
              <w:top w:val="single" w:sz="4" w:space="0" w:color="000000"/>
              <w:left w:val="single" w:sz="4" w:space="0" w:color="000000"/>
              <w:bottom w:val="single" w:sz="4" w:space="0" w:color="000000"/>
              <w:right w:val="single" w:sz="4" w:space="0" w:color="000000"/>
            </w:tcBorders>
          </w:tcPr>
          <w:p w14:paraId="4C302DB4" w14:textId="5D43A1E8" w:rsidR="00FC5110" w:rsidRPr="000329F3" w:rsidRDefault="00FC5110" w:rsidP="00D65A59">
            <w:pPr>
              <w:pStyle w:val="Pucess"/>
            </w:pPr>
            <w:r w:rsidRPr="000329F3">
              <w:t>Des indicateurs de qualité proactifs et réactifs ont été sélectionnés et sont utilisés lors des évalu</w:t>
            </w:r>
            <w:bookmarkStart w:id="0" w:name="_GoBack"/>
            <w:bookmarkEnd w:id="0"/>
            <w:r w:rsidRPr="000329F3">
              <w:t>ations.</w:t>
            </w:r>
          </w:p>
          <w:p w14:paraId="6F562449" w14:textId="19C9E74D" w:rsidR="00FC5110" w:rsidRPr="000329F3" w:rsidRDefault="00FC5110" w:rsidP="00D65A59">
            <w:pPr>
              <w:pStyle w:val="Pucess"/>
              <w:rPr>
                <w:szCs w:val="20"/>
              </w:rPr>
            </w:pPr>
            <w:r w:rsidRPr="000329F3">
              <w:t>Un processus a été mis en place pour évaluer le programme au moins une fois par année, en consultation avec le comité paritaire de santé et sécurité du travail, et pour améliorer la qualité des déplacements afin de réduire le risque de blessure des clients et des soignants.</w:t>
            </w:r>
          </w:p>
        </w:tc>
        <w:tc>
          <w:tcPr>
            <w:tcW w:w="652" w:type="dxa"/>
            <w:tcBorders>
              <w:top w:val="single" w:sz="4" w:space="0" w:color="000000"/>
              <w:left w:val="single" w:sz="4" w:space="0" w:color="000000"/>
              <w:bottom w:val="single" w:sz="4" w:space="0" w:color="000000"/>
              <w:right w:val="single" w:sz="4" w:space="0" w:color="000000"/>
            </w:tcBorders>
          </w:tcPr>
          <w:p w14:paraId="56BAF2D0"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652" w:type="dxa"/>
            <w:tcBorders>
              <w:top w:val="single" w:sz="4" w:space="0" w:color="000000"/>
              <w:left w:val="single" w:sz="4" w:space="0" w:color="000000"/>
              <w:bottom w:val="single" w:sz="4" w:space="0" w:color="000000"/>
              <w:right w:val="single" w:sz="4" w:space="0" w:color="000000"/>
            </w:tcBorders>
          </w:tcPr>
          <w:p w14:paraId="5D01FDC9" w14:textId="77777777" w:rsidR="00FC5110" w:rsidRPr="000329F3" w:rsidRDefault="00FC5110" w:rsidP="00FC5110">
            <w:pPr>
              <w:pStyle w:val="TableParagraph"/>
              <w:kinsoku w:val="0"/>
              <w:overflowPunct w:val="0"/>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071FB43" w14:textId="77777777" w:rsidR="00FC5110" w:rsidRPr="000329F3" w:rsidRDefault="00FC5110" w:rsidP="00FC5110">
            <w:pPr>
              <w:pStyle w:val="TableParagraph"/>
              <w:kinsoku w:val="0"/>
              <w:overflowPunct w:val="0"/>
              <w:rPr>
                <w:rFonts w:ascii="Times New Roman" w:hAnsi="Times New Roman" w:cs="Times New Roman"/>
                <w:sz w:val="18"/>
                <w:szCs w:val="18"/>
              </w:rPr>
            </w:pPr>
          </w:p>
        </w:tc>
      </w:tr>
    </w:tbl>
    <w:p w14:paraId="4960878B" w14:textId="39A82089" w:rsidR="00C17F88" w:rsidRPr="00D65A59" w:rsidRDefault="00FC5110" w:rsidP="00D65A59">
      <w:pPr>
        <w:spacing w:before="360"/>
        <w:jc w:val="right"/>
        <w:rPr>
          <w:i/>
          <w:sz w:val="18"/>
        </w:rPr>
      </w:pPr>
      <w:r w:rsidRPr="00D65A59">
        <w:rPr>
          <w:i/>
          <w:sz w:val="18"/>
        </w:rPr>
        <w:t>Tiré et adapté de Public Services Health &amp; Safety Association</w:t>
      </w:r>
    </w:p>
    <w:sectPr w:rsidR="00C17F88" w:rsidRPr="00D65A59" w:rsidSect="009760CB">
      <w:headerReference w:type="default" r:id="rId10"/>
      <w:pgSz w:w="12240" w:h="15840"/>
      <w:pgMar w:top="851" w:right="851" w:bottom="851" w:left="851"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628D" w14:textId="77777777" w:rsidR="00CA7EB3" w:rsidRDefault="00CA7EB3">
      <w:r>
        <w:separator/>
      </w:r>
    </w:p>
  </w:endnote>
  <w:endnote w:type="continuationSeparator" w:id="0">
    <w:p w14:paraId="1A0C45DD" w14:textId="77777777" w:rsidR="00CA7EB3" w:rsidRDefault="00CA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06A3" w14:textId="50297159" w:rsidR="001D590B" w:rsidRDefault="001D590B">
    <w:pPr>
      <w:pStyle w:val="Corpsdetexte"/>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6865" w14:textId="77777777" w:rsidR="00CA7EB3" w:rsidRDefault="00CA7EB3">
      <w:r>
        <w:separator/>
      </w:r>
    </w:p>
  </w:footnote>
  <w:footnote w:type="continuationSeparator" w:id="0">
    <w:p w14:paraId="3649B3DE" w14:textId="77777777" w:rsidR="00CA7EB3" w:rsidRDefault="00CA7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
      <w:gridCol w:w="9878"/>
    </w:tblGrid>
    <w:tr w:rsidR="009760CB" w14:paraId="10A617AF" w14:textId="77777777" w:rsidTr="009760CB">
      <w:tc>
        <w:tcPr>
          <w:tcW w:w="567" w:type="dxa"/>
        </w:tcPr>
        <w:p w14:paraId="3DF940D6" w14:textId="4A032BEE" w:rsidR="009760CB" w:rsidRDefault="009760CB">
          <w:pPr>
            <w:pStyle w:val="En-tte"/>
          </w:pPr>
          <w:r>
            <w:rPr>
              <w:noProof/>
            </w:rPr>
            <w:drawing>
              <wp:inline distT="0" distB="0" distL="0" distR="0" wp14:anchorId="76B91F53" wp14:editId="36F3B980">
                <wp:extent cx="416928" cy="5400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ul.jpg"/>
                        <pic:cNvPicPr/>
                      </pic:nvPicPr>
                      <pic:blipFill>
                        <a:blip r:embed="rId1">
                          <a:extLst>
                            <a:ext uri="{28A0092B-C50C-407E-A947-70E740481C1C}">
                              <a14:useLocalDpi xmlns:a14="http://schemas.microsoft.com/office/drawing/2010/main" val="0"/>
                            </a:ext>
                          </a:extLst>
                        </a:blip>
                        <a:stretch>
                          <a:fillRect/>
                        </a:stretch>
                      </pic:blipFill>
                      <pic:spPr>
                        <a:xfrm>
                          <a:off x="0" y="0"/>
                          <a:ext cx="416928" cy="540000"/>
                        </a:xfrm>
                        <a:prstGeom prst="rect">
                          <a:avLst/>
                        </a:prstGeom>
                      </pic:spPr>
                    </pic:pic>
                  </a:graphicData>
                </a:graphic>
              </wp:inline>
            </w:drawing>
          </w:r>
        </w:p>
      </w:tc>
      <w:tc>
        <w:tcPr>
          <w:tcW w:w="9971" w:type="dxa"/>
          <w:vAlign w:val="center"/>
        </w:tcPr>
        <w:p w14:paraId="1E3920A5" w14:textId="23D3C973" w:rsidR="009760CB" w:rsidRPr="009760CB" w:rsidRDefault="009760CB" w:rsidP="009760CB">
          <w:pPr>
            <w:pStyle w:val="En-tte"/>
            <w:rPr>
              <w:rFonts w:ascii="Arial Narrow" w:hAnsi="Arial Narrow"/>
              <w:b/>
              <w:color w:val="808080" w:themeColor="background1" w:themeShade="80"/>
              <w:spacing w:val="60"/>
            </w:rPr>
          </w:pPr>
          <w:r w:rsidRPr="009760CB">
            <w:rPr>
              <w:rFonts w:ascii="Arial Narrow" w:hAnsi="Arial Narrow"/>
              <w:b/>
              <w:color w:val="595959" w:themeColor="text1" w:themeTint="A6"/>
              <w:spacing w:val="60"/>
              <w:sz w:val="24"/>
            </w:rPr>
            <w:t>ASSTSAS</w:t>
          </w:r>
        </w:p>
      </w:tc>
    </w:tr>
  </w:tbl>
  <w:p w14:paraId="2156470D" w14:textId="71ABAAB9" w:rsidR="009760CB" w:rsidRPr="009760CB" w:rsidRDefault="009760CB" w:rsidP="009760CB">
    <w:pPr>
      <w:pStyle w:val="En-tte"/>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B97" w14:textId="77777777" w:rsidR="009760CB" w:rsidRDefault="009760CB">
    <w:pPr>
      <w:pStyle w:val="En-tte"/>
    </w:pPr>
  </w:p>
  <w:p w14:paraId="33B7688A" w14:textId="77777777" w:rsidR="009760CB" w:rsidRPr="009760CB" w:rsidRDefault="009760CB" w:rsidP="009760CB">
    <w:pPr>
      <w:pStyle w:val="En-tte"/>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1" w15:restartNumberingAfterBreak="0">
    <w:nsid w:val="00000403"/>
    <w:multiLevelType w:val="multilevel"/>
    <w:tmpl w:val="00000886"/>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2" w15:restartNumberingAfterBreak="0">
    <w:nsid w:val="00000404"/>
    <w:multiLevelType w:val="multilevel"/>
    <w:tmpl w:val="00000887"/>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3" w15:restartNumberingAfterBreak="0">
    <w:nsid w:val="00000405"/>
    <w:multiLevelType w:val="multilevel"/>
    <w:tmpl w:val="00000888"/>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4" w15:restartNumberingAfterBreak="0">
    <w:nsid w:val="00000406"/>
    <w:multiLevelType w:val="multilevel"/>
    <w:tmpl w:val="00000889"/>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5" w15:restartNumberingAfterBreak="0">
    <w:nsid w:val="00000407"/>
    <w:multiLevelType w:val="multilevel"/>
    <w:tmpl w:val="0000088A"/>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6" w15:restartNumberingAfterBreak="0">
    <w:nsid w:val="00000408"/>
    <w:multiLevelType w:val="multilevel"/>
    <w:tmpl w:val="0000088B"/>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7" w15:restartNumberingAfterBreak="0">
    <w:nsid w:val="00000409"/>
    <w:multiLevelType w:val="multilevel"/>
    <w:tmpl w:val="0000088C"/>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8" w15:restartNumberingAfterBreak="0">
    <w:nsid w:val="0000040A"/>
    <w:multiLevelType w:val="multilevel"/>
    <w:tmpl w:val="0000088D"/>
    <w:lvl w:ilvl="0">
      <w:numFmt w:val="bullet"/>
      <w:lvlText w:val=""/>
      <w:lvlJc w:val="left"/>
      <w:pPr>
        <w:ind w:left="363" w:hanging="253"/>
      </w:pPr>
      <w:rPr>
        <w:rFonts w:ascii="Wingdings 2" w:hAnsi="Wingdings 2" w:cs="Wingdings 2"/>
        <w:b w:val="0"/>
        <w:bCs w:val="0"/>
        <w:w w:val="100"/>
        <w:sz w:val="18"/>
        <w:szCs w:val="18"/>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9" w15:restartNumberingAfterBreak="0">
    <w:nsid w:val="0000040B"/>
    <w:multiLevelType w:val="multilevel"/>
    <w:tmpl w:val="0000088E"/>
    <w:lvl w:ilvl="0">
      <w:numFmt w:val="bullet"/>
      <w:lvlText w:val=""/>
      <w:lvlJc w:val="left"/>
      <w:pPr>
        <w:ind w:left="363" w:hanging="253"/>
      </w:pPr>
      <w:rPr>
        <w:rFonts w:ascii="Wingdings 2" w:hAnsi="Wingdings 2" w:cs="Wingdings 2"/>
        <w:b w:val="0"/>
        <w:bCs w:val="0"/>
        <w:w w:val="100"/>
        <w:sz w:val="20"/>
        <w:szCs w:val="20"/>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10" w15:restartNumberingAfterBreak="0">
    <w:nsid w:val="0000040C"/>
    <w:multiLevelType w:val="multilevel"/>
    <w:tmpl w:val="0000088F"/>
    <w:lvl w:ilvl="0">
      <w:numFmt w:val="bullet"/>
      <w:lvlText w:val=""/>
      <w:lvlJc w:val="left"/>
      <w:pPr>
        <w:ind w:left="363" w:hanging="253"/>
      </w:pPr>
      <w:rPr>
        <w:rFonts w:ascii="Wingdings 2" w:hAnsi="Wingdings 2" w:cs="Wingdings 2"/>
        <w:b w:val="0"/>
        <w:bCs w:val="0"/>
        <w:w w:val="100"/>
        <w:sz w:val="20"/>
        <w:szCs w:val="20"/>
      </w:rPr>
    </w:lvl>
    <w:lvl w:ilvl="1">
      <w:numFmt w:val="bullet"/>
      <w:lvlText w:val="•"/>
      <w:lvlJc w:val="left"/>
      <w:pPr>
        <w:ind w:left="935" w:hanging="253"/>
      </w:pPr>
    </w:lvl>
    <w:lvl w:ilvl="2">
      <w:numFmt w:val="bullet"/>
      <w:lvlText w:val="•"/>
      <w:lvlJc w:val="left"/>
      <w:pPr>
        <w:ind w:left="1510" w:hanging="253"/>
      </w:pPr>
    </w:lvl>
    <w:lvl w:ilvl="3">
      <w:numFmt w:val="bullet"/>
      <w:lvlText w:val="•"/>
      <w:lvlJc w:val="left"/>
      <w:pPr>
        <w:ind w:left="2085" w:hanging="253"/>
      </w:pPr>
    </w:lvl>
    <w:lvl w:ilvl="4">
      <w:numFmt w:val="bullet"/>
      <w:lvlText w:val="•"/>
      <w:lvlJc w:val="left"/>
      <w:pPr>
        <w:ind w:left="2661" w:hanging="253"/>
      </w:pPr>
    </w:lvl>
    <w:lvl w:ilvl="5">
      <w:numFmt w:val="bullet"/>
      <w:lvlText w:val="•"/>
      <w:lvlJc w:val="left"/>
      <w:pPr>
        <w:ind w:left="3236" w:hanging="253"/>
      </w:pPr>
    </w:lvl>
    <w:lvl w:ilvl="6">
      <w:numFmt w:val="bullet"/>
      <w:lvlText w:val="•"/>
      <w:lvlJc w:val="left"/>
      <w:pPr>
        <w:ind w:left="3811" w:hanging="253"/>
      </w:pPr>
    </w:lvl>
    <w:lvl w:ilvl="7">
      <w:numFmt w:val="bullet"/>
      <w:lvlText w:val="•"/>
      <w:lvlJc w:val="left"/>
      <w:pPr>
        <w:ind w:left="4387" w:hanging="253"/>
      </w:pPr>
    </w:lvl>
    <w:lvl w:ilvl="8">
      <w:numFmt w:val="bullet"/>
      <w:lvlText w:val="•"/>
      <w:lvlJc w:val="left"/>
      <w:pPr>
        <w:ind w:left="4962" w:hanging="253"/>
      </w:pPr>
    </w:lvl>
  </w:abstractNum>
  <w:abstractNum w:abstractNumId="11" w15:restartNumberingAfterBreak="0">
    <w:nsid w:val="0BC12364"/>
    <w:multiLevelType w:val="hybridMultilevel"/>
    <w:tmpl w:val="676AB2B8"/>
    <w:lvl w:ilvl="0" w:tplc="E4563518">
      <w:start w:val="1"/>
      <w:numFmt w:val="bullet"/>
      <w:pStyle w:val="Pucess"/>
      <w:lvlText w:val=""/>
      <w:lvlJc w:val="left"/>
      <w:pPr>
        <w:ind w:left="1083"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81045F"/>
    <w:multiLevelType w:val="hybridMultilevel"/>
    <w:tmpl w:val="83666116"/>
    <w:lvl w:ilvl="0" w:tplc="17D0D734">
      <w:start w:val="1"/>
      <w:numFmt w:val="decimal"/>
      <w:pStyle w:val="Numerotation"/>
      <w:lvlText w:val="%1."/>
      <w:lvlJc w:val="left"/>
      <w:pPr>
        <w:ind w:left="830" w:hanging="360"/>
      </w:pPr>
    </w:lvl>
    <w:lvl w:ilvl="1" w:tplc="0C0C0019" w:tentative="1">
      <w:start w:val="1"/>
      <w:numFmt w:val="lowerLetter"/>
      <w:lvlText w:val="%2."/>
      <w:lvlJc w:val="left"/>
      <w:pPr>
        <w:ind w:left="1550" w:hanging="360"/>
      </w:pPr>
    </w:lvl>
    <w:lvl w:ilvl="2" w:tplc="0C0C001B" w:tentative="1">
      <w:start w:val="1"/>
      <w:numFmt w:val="lowerRoman"/>
      <w:lvlText w:val="%3."/>
      <w:lvlJc w:val="right"/>
      <w:pPr>
        <w:ind w:left="2270" w:hanging="180"/>
      </w:pPr>
    </w:lvl>
    <w:lvl w:ilvl="3" w:tplc="0C0C000F" w:tentative="1">
      <w:start w:val="1"/>
      <w:numFmt w:val="decimal"/>
      <w:lvlText w:val="%4."/>
      <w:lvlJc w:val="left"/>
      <w:pPr>
        <w:ind w:left="2990" w:hanging="360"/>
      </w:pPr>
    </w:lvl>
    <w:lvl w:ilvl="4" w:tplc="0C0C0019" w:tentative="1">
      <w:start w:val="1"/>
      <w:numFmt w:val="lowerLetter"/>
      <w:lvlText w:val="%5."/>
      <w:lvlJc w:val="left"/>
      <w:pPr>
        <w:ind w:left="3710" w:hanging="360"/>
      </w:pPr>
    </w:lvl>
    <w:lvl w:ilvl="5" w:tplc="0C0C001B" w:tentative="1">
      <w:start w:val="1"/>
      <w:numFmt w:val="lowerRoman"/>
      <w:lvlText w:val="%6."/>
      <w:lvlJc w:val="right"/>
      <w:pPr>
        <w:ind w:left="4430" w:hanging="180"/>
      </w:pPr>
    </w:lvl>
    <w:lvl w:ilvl="6" w:tplc="0C0C000F" w:tentative="1">
      <w:start w:val="1"/>
      <w:numFmt w:val="decimal"/>
      <w:lvlText w:val="%7."/>
      <w:lvlJc w:val="left"/>
      <w:pPr>
        <w:ind w:left="5150" w:hanging="360"/>
      </w:pPr>
    </w:lvl>
    <w:lvl w:ilvl="7" w:tplc="0C0C0019" w:tentative="1">
      <w:start w:val="1"/>
      <w:numFmt w:val="lowerLetter"/>
      <w:lvlText w:val="%8."/>
      <w:lvlJc w:val="left"/>
      <w:pPr>
        <w:ind w:left="5870" w:hanging="360"/>
      </w:pPr>
    </w:lvl>
    <w:lvl w:ilvl="8" w:tplc="0C0C001B" w:tentative="1">
      <w:start w:val="1"/>
      <w:numFmt w:val="lowerRoman"/>
      <w:lvlText w:val="%9."/>
      <w:lvlJc w:val="right"/>
      <w:pPr>
        <w:ind w:left="659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4"/>
    <w:rsid w:val="00014BFD"/>
    <w:rsid w:val="00017758"/>
    <w:rsid w:val="00021046"/>
    <w:rsid w:val="000329F3"/>
    <w:rsid w:val="000340BB"/>
    <w:rsid w:val="00041A6B"/>
    <w:rsid w:val="00044ACD"/>
    <w:rsid w:val="00070FE6"/>
    <w:rsid w:val="00071547"/>
    <w:rsid w:val="000974F4"/>
    <w:rsid w:val="000C0F23"/>
    <w:rsid w:val="000C56F2"/>
    <w:rsid w:val="001026DE"/>
    <w:rsid w:val="00103A01"/>
    <w:rsid w:val="00110D23"/>
    <w:rsid w:val="00132E09"/>
    <w:rsid w:val="00182EEB"/>
    <w:rsid w:val="00185F6A"/>
    <w:rsid w:val="0019171C"/>
    <w:rsid w:val="001B320F"/>
    <w:rsid w:val="001B3D88"/>
    <w:rsid w:val="001C3676"/>
    <w:rsid w:val="001D590B"/>
    <w:rsid w:val="001D7217"/>
    <w:rsid w:val="001F15C9"/>
    <w:rsid w:val="00204143"/>
    <w:rsid w:val="00217CB8"/>
    <w:rsid w:val="00235C61"/>
    <w:rsid w:val="002402F8"/>
    <w:rsid w:val="00257D7C"/>
    <w:rsid w:val="00265449"/>
    <w:rsid w:val="002747ED"/>
    <w:rsid w:val="00284772"/>
    <w:rsid w:val="002C6A2D"/>
    <w:rsid w:val="002D0704"/>
    <w:rsid w:val="002F18FC"/>
    <w:rsid w:val="0031364B"/>
    <w:rsid w:val="00314E0B"/>
    <w:rsid w:val="003266DE"/>
    <w:rsid w:val="00344B12"/>
    <w:rsid w:val="00370EA7"/>
    <w:rsid w:val="0038032C"/>
    <w:rsid w:val="00384C18"/>
    <w:rsid w:val="003A47E8"/>
    <w:rsid w:val="003B5A3F"/>
    <w:rsid w:val="003E09F3"/>
    <w:rsid w:val="004032C9"/>
    <w:rsid w:val="00411DB4"/>
    <w:rsid w:val="00411E37"/>
    <w:rsid w:val="00437716"/>
    <w:rsid w:val="004601CD"/>
    <w:rsid w:val="004824F7"/>
    <w:rsid w:val="004C36BD"/>
    <w:rsid w:val="004D5273"/>
    <w:rsid w:val="004F5891"/>
    <w:rsid w:val="004F737B"/>
    <w:rsid w:val="00514033"/>
    <w:rsid w:val="00525926"/>
    <w:rsid w:val="00562B10"/>
    <w:rsid w:val="005653A8"/>
    <w:rsid w:val="00597132"/>
    <w:rsid w:val="005C6B69"/>
    <w:rsid w:val="005D29FC"/>
    <w:rsid w:val="0060096C"/>
    <w:rsid w:val="006035D1"/>
    <w:rsid w:val="006366A6"/>
    <w:rsid w:val="00653344"/>
    <w:rsid w:val="006903FC"/>
    <w:rsid w:val="00691F82"/>
    <w:rsid w:val="00692956"/>
    <w:rsid w:val="006D03F9"/>
    <w:rsid w:val="006D50A6"/>
    <w:rsid w:val="006E19B1"/>
    <w:rsid w:val="006E2A40"/>
    <w:rsid w:val="00732E9D"/>
    <w:rsid w:val="00745007"/>
    <w:rsid w:val="0074534F"/>
    <w:rsid w:val="00752E2B"/>
    <w:rsid w:val="007659BD"/>
    <w:rsid w:val="00772573"/>
    <w:rsid w:val="00775309"/>
    <w:rsid w:val="0078088B"/>
    <w:rsid w:val="00781999"/>
    <w:rsid w:val="00783835"/>
    <w:rsid w:val="00785ADA"/>
    <w:rsid w:val="00792D8C"/>
    <w:rsid w:val="00795C89"/>
    <w:rsid w:val="00814B9A"/>
    <w:rsid w:val="00841CAC"/>
    <w:rsid w:val="00842DC7"/>
    <w:rsid w:val="00854DE9"/>
    <w:rsid w:val="00893FC1"/>
    <w:rsid w:val="008C36A8"/>
    <w:rsid w:val="008C3E34"/>
    <w:rsid w:val="009025B1"/>
    <w:rsid w:val="00964D74"/>
    <w:rsid w:val="00975F28"/>
    <w:rsid w:val="009760CB"/>
    <w:rsid w:val="009A1546"/>
    <w:rsid w:val="009E45F3"/>
    <w:rsid w:val="009F0766"/>
    <w:rsid w:val="00A12E01"/>
    <w:rsid w:val="00A326A4"/>
    <w:rsid w:val="00A35859"/>
    <w:rsid w:val="00A668ED"/>
    <w:rsid w:val="00A96617"/>
    <w:rsid w:val="00AA0E8B"/>
    <w:rsid w:val="00AC517E"/>
    <w:rsid w:val="00B04382"/>
    <w:rsid w:val="00B44A0E"/>
    <w:rsid w:val="00B52A0B"/>
    <w:rsid w:val="00B864F8"/>
    <w:rsid w:val="00BB7450"/>
    <w:rsid w:val="00C15CAC"/>
    <w:rsid w:val="00C17F88"/>
    <w:rsid w:val="00C303F3"/>
    <w:rsid w:val="00C330AE"/>
    <w:rsid w:val="00C66EB8"/>
    <w:rsid w:val="00CA3935"/>
    <w:rsid w:val="00CA7EB3"/>
    <w:rsid w:val="00CE51FD"/>
    <w:rsid w:val="00CF0D04"/>
    <w:rsid w:val="00D07F8D"/>
    <w:rsid w:val="00D259D1"/>
    <w:rsid w:val="00D27C0C"/>
    <w:rsid w:val="00D3002E"/>
    <w:rsid w:val="00D30D7B"/>
    <w:rsid w:val="00D33721"/>
    <w:rsid w:val="00D5695A"/>
    <w:rsid w:val="00D60061"/>
    <w:rsid w:val="00D65A59"/>
    <w:rsid w:val="00D71654"/>
    <w:rsid w:val="00D733C3"/>
    <w:rsid w:val="00DA26AC"/>
    <w:rsid w:val="00DB24DB"/>
    <w:rsid w:val="00DE7807"/>
    <w:rsid w:val="00E129C6"/>
    <w:rsid w:val="00E16FEA"/>
    <w:rsid w:val="00E229EC"/>
    <w:rsid w:val="00E700D9"/>
    <w:rsid w:val="00E767F9"/>
    <w:rsid w:val="00E910B1"/>
    <w:rsid w:val="00E95806"/>
    <w:rsid w:val="00E963B3"/>
    <w:rsid w:val="00EA41AF"/>
    <w:rsid w:val="00EB1EA1"/>
    <w:rsid w:val="00EE7BC6"/>
    <w:rsid w:val="00F16364"/>
    <w:rsid w:val="00F17C51"/>
    <w:rsid w:val="00F20484"/>
    <w:rsid w:val="00F72997"/>
    <w:rsid w:val="00F80C95"/>
    <w:rsid w:val="00F973FE"/>
    <w:rsid w:val="00FC51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D05A36B"/>
  <w14:defaultImageDpi w14:val="96"/>
  <w15:docId w15:val="{23585083-9A57-42DD-A2BA-05ADB1A0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rFonts w:ascii="Calibri" w:hAnsi="Calibri" w:cs="Calibri"/>
      <w:sz w:val="20"/>
      <w:szCs w:val="20"/>
    </w:rPr>
  </w:style>
  <w:style w:type="character" w:customStyle="1" w:styleId="CorpsdetexteCar">
    <w:name w:val="Corps de texte Car"/>
    <w:basedOn w:val="Policepardfaut"/>
    <w:link w:val="Corpsdetexte"/>
    <w:uiPriority w:val="99"/>
    <w:semiHidden/>
    <w:rPr>
      <w:rFonts w:ascii="Arial" w:hAnsi="Arial" w:cs="Arial"/>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link w:val="TableParagraphCar"/>
    <w:uiPriority w:val="1"/>
    <w:qFormat/>
    <w:rPr>
      <w:sz w:val="24"/>
      <w:szCs w:val="24"/>
    </w:rPr>
  </w:style>
  <w:style w:type="paragraph" w:styleId="En-tte">
    <w:name w:val="header"/>
    <w:basedOn w:val="Normal"/>
    <w:link w:val="En-tteCar"/>
    <w:uiPriority w:val="99"/>
    <w:unhideWhenUsed/>
    <w:rsid w:val="00F72997"/>
    <w:pPr>
      <w:tabs>
        <w:tab w:val="center" w:pos="4320"/>
        <w:tab w:val="right" w:pos="8640"/>
      </w:tabs>
    </w:pPr>
  </w:style>
  <w:style w:type="character" w:customStyle="1" w:styleId="En-tteCar">
    <w:name w:val="En-tête Car"/>
    <w:basedOn w:val="Policepardfaut"/>
    <w:link w:val="En-tte"/>
    <w:uiPriority w:val="99"/>
    <w:rsid w:val="00F72997"/>
    <w:rPr>
      <w:rFonts w:ascii="Arial" w:hAnsi="Arial" w:cs="Arial"/>
    </w:rPr>
  </w:style>
  <w:style w:type="paragraph" w:styleId="Pieddepage">
    <w:name w:val="footer"/>
    <w:basedOn w:val="Normal"/>
    <w:link w:val="PieddepageCar"/>
    <w:uiPriority w:val="99"/>
    <w:unhideWhenUsed/>
    <w:rsid w:val="00F72997"/>
    <w:pPr>
      <w:tabs>
        <w:tab w:val="center" w:pos="4320"/>
        <w:tab w:val="right" w:pos="8640"/>
      </w:tabs>
    </w:pPr>
  </w:style>
  <w:style w:type="character" w:customStyle="1" w:styleId="PieddepageCar">
    <w:name w:val="Pied de page Car"/>
    <w:basedOn w:val="Policepardfaut"/>
    <w:link w:val="Pieddepage"/>
    <w:uiPriority w:val="99"/>
    <w:rsid w:val="00F72997"/>
    <w:rPr>
      <w:rFonts w:ascii="Arial" w:hAnsi="Arial" w:cs="Arial"/>
    </w:rPr>
  </w:style>
  <w:style w:type="character" w:styleId="Marquedecommentaire">
    <w:name w:val="annotation reference"/>
    <w:basedOn w:val="Policepardfaut"/>
    <w:uiPriority w:val="99"/>
    <w:semiHidden/>
    <w:unhideWhenUsed/>
    <w:rsid w:val="00C330AE"/>
    <w:rPr>
      <w:sz w:val="16"/>
      <w:szCs w:val="16"/>
    </w:rPr>
  </w:style>
  <w:style w:type="paragraph" w:styleId="Commentaire">
    <w:name w:val="annotation text"/>
    <w:basedOn w:val="Normal"/>
    <w:link w:val="CommentaireCar"/>
    <w:uiPriority w:val="99"/>
    <w:semiHidden/>
    <w:unhideWhenUsed/>
    <w:rsid w:val="00C330AE"/>
    <w:rPr>
      <w:sz w:val="20"/>
      <w:szCs w:val="20"/>
    </w:rPr>
  </w:style>
  <w:style w:type="character" w:customStyle="1" w:styleId="CommentaireCar">
    <w:name w:val="Commentaire Car"/>
    <w:basedOn w:val="Policepardfaut"/>
    <w:link w:val="Commentaire"/>
    <w:uiPriority w:val="99"/>
    <w:semiHidden/>
    <w:rsid w:val="00C330AE"/>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330AE"/>
    <w:rPr>
      <w:b/>
      <w:bCs/>
    </w:rPr>
  </w:style>
  <w:style w:type="character" w:customStyle="1" w:styleId="ObjetducommentaireCar">
    <w:name w:val="Objet du commentaire Car"/>
    <w:basedOn w:val="CommentaireCar"/>
    <w:link w:val="Objetducommentaire"/>
    <w:uiPriority w:val="99"/>
    <w:semiHidden/>
    <w:rsid w:val="00C330AE"/>
    <w:rPr>
      <w:rFonts w:ascii="Arial" w:hAnsi="Arial" w:cs="Arial"/>
      <w:b/>
      <w:bCs/>
      <w:sz w:val="20"/>
      <w:szCs w:val="20"/>
    </w:rPr>
  </w:style>
  <w:style w:type="paragraph" w:styleId="Rvision">
    <w:name w:val="Revision"/>
    <w:hidden/>
    <w:uiPriority w:val="99"/>
    <w:semiHidden/>
    <w:rsid w:val="00C330AE"/>
    <w:pPr>
      <w:spacing w:after="0" w:line="240" w:lineRule="auto"/>
    </w:pPr>
    <w:rPr>
      <w:rFonts w:ascii="Arial" w:hAnsi="Arial" w:cs="Arial"/>
    </w:rPr>
  </w:style>
  <w:style w:type="paragraph" w:styleId="Textedebulles">
    <w:name w:val="Balloon Text"/>
    <w:basedOn w:val="Normal"/>
    <w:link w:val="TextedebullesCar"/>
    <w:uiPriority w:val="99"/>
    <w:semiHidden/>
    <w:unhideWhenUsed/>
    <w:rsid w:val="00C330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0AE"/>
    <w:rPr>
      <w:rFonts w:ascii="Segoe UI" w:hAnsi="Segoe UI" w:cs="Segoe UI"/>
      <w:sz w:val="18"/>
      <w:szCs w:val="18"/>
    </w:rPr>
  </w:style>
  <w:style w:type="paragraph" w:customStyle="1" w:styleId="Numerotation">
    <w:name w:val="Numerotation"/>
    <w:basedOn w:val="TableParagraph"/>
    <w:link w:val="NumerotationCar"/>
    <w:uiPriority w:val="1"/>
    <w:qFormat/>
    <w:rsid w:val="009760CB"/>
    <w:pPr>
      <w:numPr>
        <w:numId w:val="12"/>
      </w:numPr>
      <w:kinsoku w:val="0"/>
      <w:overflowPunct w:val="0"/>
      <w:ind w:left="340" w:hanging="340"/>
    </w:pPr>
    <w:rPr>
      <w:b/>
      <w:bCs/>
      <w:color w:val="FFFFFF" w:themeColor="background1"/>
      <w:sz w:val="20"/>
      <w:szCs w:val="20"/>
    </w:rPr>
  </w:style>
  <w:style w:type="paragraph" w:customStyle="1" w:styleId="Pucess">
    <w:name w:val="Pucess"/>
    <w:basedOn w:val="TableParagraph"/>
    <w:link w:val="PucessCar"/>
    <w:uiPriority w:val="1"/>
    <w:qFormat/>
    <w:rsid w:val="00D65A59"/>
    <w:pPr>
      <w:numPr>
        <w:numId w:val="13"/>
      </w:numPr>
      <w:tabs>
        <w:tab w:val="left" w:pos="364"/>
      </w:tabs>
      <w:kinsoku w:val="0"/>
      <w:overflowPunct w:val="0"/>
      <w:ind w:left="567" w:hanging="227"/>
    </w:pPr>
    <w:rPr>
      <w:spacing w:val="-3"/>
      <w:sz w:val="19"/>
      <w:szCs w:val="19"/>
    </w:rPr>
  </w:style>
  <w:style w:type="character" w:customStyle="1" w:styleId="TableParagraphCar">
    <w:name w:val="Table Paragraph Car"/>
    <w:basedOn w:val="Policepardfaut"/>
    <w:link w:val="TableParagraph"/>
    <w:uiPriority w:val="1"/>
    <w:rsid w:val="000329F3"/>
    <w:rPr>
      <w:rFonts w:ascii="Arial" w:hAnsi="Arial" w:cs="Arial"/>
      <w:sz w:val="24"/>
      <w:szCs w:val="24"/>
    </w:rPr>
  </w:style>
  <w:style w:type="character" w:customStyle="1" w:styleId="NumerotationCar">
    <w:name w:val="Numerotation Car"/>
    <w:basedOn w:val="TableParagraphCar"/>
    <w:link w:val="Numerotation"/>
    <w:uiPriority w:val="1"/>
    <w:rsid w:val="009760CB"/>
    <w:rPr>
      <w:rFonts w:ascii="Arial" w:hAnsi="Arial" w:cs="Arial"/>
      <w:b/>
      <w:bCs/>
      <w:color w:val="FFFFFF" w:themeColor="background1"/>
      <w:sz w:val="20"/>
      <w:szCs w:val="20"/>
    </w:rPr>
  </w:style>
  <w:style w:type="table" w:styleId="Grilledutableau">
    <w:name w:val="Table Grid"/>
    <w:basedOn w:val="TableauNormal"/>
    <w:uiPriority w:val="39"/>
    <w:rsid w:val="0097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cessCar">
    <w:name w:val="Pucess Car"/>
    <w:basedOn w:val="TableParagraphCar"/>
    <w:link w:val="Pucess"/>
    <w:uiPriority w:val="1"/>
    <w:rsid w:val="00D65A59"/>
    <w:rPr>
      <w:rFonts w:ascii="Arial" w:hAnsi="Arial" w:cs="Arial"/>
      <w:spacing w:val="-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6B22-8FB3-4BAE-A45A-ED0FCF70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1088</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Ontario Safety Association for Community and Healthcare</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Safety Association for Community and Healthcare</dc:title>
  <dc:subject/>
  <dc:creator>FZiesmann</dc:creator>
  <cp:keywords/>
  <dc:description/>
  <cp:lastModifiedBy>Jocelyne Dubé</cp:lastModifiedBy>
  <cp:revision>3</cp:revision>
  <dcterms:created xsi:type="dcterms:W3CDTF">2018-08-28T15:23:00Z</dcterms:created>
  <dcterms:modified xsi:type="dcterms:W3CDTF">2018-08-28T15:26:00Z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