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25"/>
        <w:gridCol w:w="2693"/>
        <w:gridCol w:w="5669"/>
      </w:tblGrid>
      <w:tr w:rsidR="00853520" w:rsidRPr="00853520" w:rsidTr="0051172D">
        <w:tc>
          <w:tcPr>
            <w:tcW w:w="8787" w:type="dxa"/>
            <w:gridSpan w:val="3"/>
            <w:tcBorders>
              <w:top w:val="single" w:sz="4" w:space="0" w:color="auto"/>
              <w:bottom w:val="single" w:sz="4" w:space="0" w:color="auto"/>
            </w:tcBorders>
            <w:shd w:val="clear" w:color="auto" w:fill="B8CCE4" w:themeFill="accent1" w:themeFillTint="66"/>
          </w:tcPr>
          <w:p w:rsidR="00853520" w:rsidRPr="00853520" w:rsidRDefault="00853520" w:rsidP="00853520">
            <w:pPr>
              <w:spacing w:before="60" w:after="60"/>
              <w:jc w:val="center"/>
              <w:rPr>
                <w:rFonts w:ascii="Arial" w:hAnsi="Arial" w:cs="Arial"/>
                <w:b/>
                <w:szCs w:val="28"/>
              </w:rPr>
            </w:pPr>
            <w:r w:rsidRPr="00853520">
              <w:rPr>
                <w:rFonts w:ascii="Arial" w:hAnsi="Arial" w:cs="Arial"/>
                <w:b/>
                <w:szCs w:val="28"/>
              </w:rPr>
              <w:t>Type de contact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Agression psychologique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une personne est blessée psychologiquement par suite de voies de fait ou d’actions violentes.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Agression physique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une personne est blessée physiquement par suite de voies de fait ou d’actions violentes.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Contrôle physique/agitation</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aux travailleurs qui se sont blessés en tentant de contrôler un client lors de périodes de forte agitation.</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Mobiliser un client</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la blessure ou la maladie est imputable à un effort physique excessif effectué lors du déplacement d’un client.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Éviter une chute/retenir</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un travailleur se blesse lorsqu’il tente de rattraper un client lors d’une chute.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Morsure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un travailleur se fait mordre dans le cadre de son travail.</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Contact piquant/tranchant</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la blessure est causée par un objet piquant (ex. : aiguille) ou un objet tranchant (ex. : scalpel).</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Contact avec un produit chimique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la blessure ou la maladie résulte de l’inhalation ou de l’absorption par la peau d’une matière dangereuse (ex. : toxique ou corrosive).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Contact – courant électrique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la blessure résulte d’un contact avec l’électricité. Le contact peut se faire directement avec la source d’alimentation ou indirectement, par un tuyau que tiendrait le travailleur et qui entrerait en contact avec une ligne électrique.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Effort excessif, manutention de charge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la blessure ou la maladie est imputable à un effort physique excessif effectué lors des actions de pousser, tirer, tourner, porter ou lancer une charge.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Coincé/écrasé</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 cas où un travailleur se blesse en se coinçant ou en s’écrasant une partie du corps.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Éclaboussure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Éclaboussure.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Agents infectieux, bactérie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aux maladies imputables à des agents infectieux (virus, bactérie)</w:t>
            </w:r>
          </w:p>
        </w:tc>
      </w:tr>
      <w:tr w:rsidR="00853520" w:rsidRPr="00853520" w:rsidTr="0051172D">
        <w:tc>
          <w:tcPr>
            <w:tcW w:w="8787" w:type="dxa"/>
            <w:gridSpan w:val="3"/>
            <w:tcBorders>
              <w:top w:val="single" w:sz="4" w:space="0" w:color="auto"/>
              <w:left w:val="nil"/>
              <w:bottom w:val="single" w:sz="4" w:space="0" w:color="auto"/>
              <w:right w:val="nil"/>
            </w:tcBorders>
            <w:shd w:val="clear" w:color="auto" w:fill="auto"/>
          </w:tcPr>
          <w:p w:rsidR="00853520" w:rsidRPr="00853520" w:rsidRDefault="00853520" w:rsidP="00853520">
            <w:pPr>
              <w:spacing w:before="60" w:after="60"/>
              <w:rPr>
                <w:rFonts w:ascii="Arial" w:hAnsi="Arial" w:cs="Arial"/>
                <w:sz w:val="10"/>
                <w:szCs w:val="28"/>
              </w:rPr>
            </w:pPr>
          </w:p>
        </w:tc>
      </w:tr>
      <w:tr w:rsidR="00853520" w:rsidRPr="00853520" w:rsidTr="0051172D">
        <w:tc>
          <w:tcPr>
            <w:tcW w:w="8787" w:type="dxa"/>
            <w:gridSpan w:val="3"/>
            <w:tcBorders>
              <w:top w:val="single" w:sz="4" w:space="0" w:color="auto"/>
              <w:bottom w:val="single" w:sz="4" w:space="0" w:color="auto"/>
            </w:tcBorders>
            <w:shd w:val="clear" w:color="auto" w:fill="FBD4B4" w:themeFill="accent6" w:themeFillTint="66"/>
          </w:tcPr>
          <w:p w:rsidR="00853520" w:rsidRPr="00853520" w:rsidRDefault="00853520" w:rsidP="00853520">
            <w:pPr>
              <w:spacing w:before="60" w:after="60"/>
              <w:jc w:val="center"/>
              <w:rPr>
                <w:rFonts w:ascii="Arial" w:hAnsi="Arial" w:cs="Arial"/>
                <w:b/>
                <w:szCs w:val="28"/>
              </w:rPr>
            </w:pPr>
            <w:r w:rsidRPr="00853520">
              <w:rPr>
                <w:rFonts w:ascii="Arial" w:hAnsi="Arial" w:cs="Arial"/>
                <w:b/>
                <w:szCs w:val="28"/>
              </w:rPr>
              <w:t>Type de blessure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Atteinte psychologique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Traumatisme psychique vécu par un travailleur qui ne peut l’assimiler.</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Brûlure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aux brûlures résultant de sources diverses comme la chaleur, les flammes, les substances chaudes, les substances corrosives, les objets extrêmement froids.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Calibri" w:hAnsi="Calibri" w:cs="Times New Roman"/>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Contusion/ecchymose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8"/>
              </w:rPr>
            </w:pPr>
            <w:r w:rsidRPr="00853520">
              <w:rPr>
                <w:rFonts w:ascii="Arial" w:hAnsi="Arial" w:cs="Arial"/>
                <w:sz w:val="20"/>
                <w:szCs w:val="28"/>
              </w:rPr>
              <w:t>S’applique aux contusions traumatiques et aux autres blessures qui se produisent à la surface du corps et n’entraînent généralement pas de plaies ouvertes telles que des écorchures, égratignures, ampoules, ecchymoses, contusions, échardes superficielles et brûlures par friction.</w:t>
            </w:r>
          </w:p>
        </w:tc>
      </w:tr>
    </w:tbl>
    <w:p w:rsidR="00853520" w:rsidRPr="00853520" w:rsidRDefault="00853520" w:rsidP="00853520">
      <w:pPr>
        <w:rPr>
          <w:rFonts w:ascii="Arial" w:eastAsia="Times New Roman" w:hAnsi="Arial" w:cs="Arial"/>
          <w:sz w:val="2"/>
          <w:szCs w:val="2"/>
          <w:lang w:eastAsia="fr-CA"/>
        </w:rPr>
      </w:pPr>
      <w:r w:rsidRPr="00853520">
        <w:rPr>
          <w:rFonts w:ascii="Arial" w:eastAsia="Times New Roman" w:hAnsi="Arial" w:cs="Arial"/>
          <w:lang w:eastAsia="fr-CA"/>
        </w:rP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25"/>
        <w:gridCol w:w="2693"/>
        <w:gridCol w:w="5669"/>
      </w:tblGrid>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lastRenderedPageBreak/>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Corps étranger</w:t>
            </w:r>
            <w:bookmarkStart w:id="0" w:name="_GoBack"/>
            <w:bookmarkEnd w:id="0"/>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Objet de taille au moins supérieure au millimètre et qui a pénétré dans le corps humain. Sa composition est très variable ; bois ou métal pour une écharde, du gravier ou gravillon, des objets usuels, etc. …</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Entorse/foulure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S’applique au cas où la blessure résulte d’un traumatisme des ligaments occasionné par une mobilisation excessive d’une articulation.</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Éraflure/coupure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Éraflure/coupure.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Inflammation/infection</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S’applique au cas où il y a présence de rougeur (érythème), de gonflement (œdème) ou de sensation de brûlure au site de la blessure.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Intoxication/contamination</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S’applique au cas où l’organisme du travailleur est atteint par un produit toxique.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Exposition/irradiation</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Exposition à une matière radioactive.</w:t>
            </w:r>
          </w:p>
        </w:tc>
      </w:tr>
      <w:tr w:rsidR="00853520" w:rsidRPr="00853520" w:rsidTr="0051172D">
        <w:tc>
          <w:tcPr>
            <w:tcW w:w="8787" w:type="dxa"/>
            <w:gridSpan w:val="3"/>
            <w:tcBorders>
              <w:top w:val="single" w:sz="4" w:space="0" w:color="auto"/>
              <w:left w:val="nil"/>
              <w:bottom w:val="single" w:sz="4" w:space="0" w:color="auto"/>
              <w:right w:val="nil"/>
            </w:tcBorders>
          </w:tcPr>
          <w:p w:rsidR="00853520" w:rsidRPr="00853520" w:rsidRDefault="00853520" w:rsidP="00853520">
            <w:pPr>
              <w:spacing w:before="60" w:after="60"/>
              <w:rPr>
                <w:rFonts w:ascii="Arial" w:hAnsi="Arial" w:cs="Arial"/>
                <w:sz w:val="10"/>
                <w:szCs w:val="10"/>
              </w:rPr>
            </w:pPr>
          </w:p>
        </w:tc>
      </w:tr>
      <w:tr w:rsidR="00853520" w:rsidRPr="00853520" w:rsidTr="0051172D">
        <w:tc>
          <w:tcPr>
            <w:tcW w:w="8787" w:type="dxa"/>
            <w:gridSpan w:val="3"/>
            <w:tcBorders>
              <w:top w:val="single" w:sz="4" w:space="0" w:color="auto"/>
              <w:bottom w:val="single" w:sz="4" w:space="0" w:color="auto"/>
            </w:tcBorders>
            <w:shd w:val="clear" w:color="auto" w:fill="FFFF99"/>
          </w:tcPr>
          <w:p w:rsidR="00853520" w:rsidRPr="00853520" w:rsidRDefault="00853520" w:rsidP="00853520">
            <w:pPr>
              <w:spacing w:before="60" w:after="60"/>
              <w:jc w:val="center"/>
              <w:rPr>
                <w:rFonts w:ascii="Arial" w:hAnsi="Arial" w:cs="Arial"/>
                <w:b/>
              </w:rPr>
            </w:pPr>
            <w:r w:rsidRPr="00853520">
              <w:rPr>
                <w:rFonts w:ascii="Arial" w:hAnsi="Arial" w:cs="Arial"/>
                <w:b/>
              </w:rPr>
              <w:t>Tâche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Situation urgente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S’applique lorsqu’une tâche autre que celle en cours d’exécution ne peut être retardée et doit être effectuée sans délai.</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Tâche inhabituelle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Tâche pour laquelle le travailleur a peu d’expérience.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Mobilisation d’un client</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Tâche impliquant le déplacement d’un bénéficiaire.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Posture statique prolongée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Action qui dure assez longtemps et qui impose le maintien d’une même posture OU plusieurs actions consécutives qui impliquent le maintien d’une même posture.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Pousser, tirer, pivoter</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Pousser, tirer, pivoter.</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Effort excessif</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Un effort est considéré excessif lorsqu’il excède les capacités normales du travailleur.</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rPr>
            </w:pPr>
            <w:r w:rsidRPr="00853520">
              <w:rPr>
                <w:rFonts w:ascii="Arial" w:hAnsi="Arial" w:cs="Arial"/>
                <w:sz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Mouvement répétitif</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rPr>
            </w:pPr>
            <w:r w:rsidRPr="00853520">
              <w:rPr>
                <w:rFonts w:ascii="Arial" w:hAnsi="Arial" w:cs="Arial"/>
                <w:noProof/>
                <w:sz w:val="20"/>
              </w:rPr>
              <w:t>Les mouvements peuvent être qualifiés de répétitifs lorsqu’ils font appel aux mêmes groupes de muscles et d’articulations de façon répétée, trop souvent, trop rapidement et pendant trop longtemps.</w:t>
            </w:r>
          </w:p>
        </w:tc>
      </w:tr>
      <w:tr w:rsidR="00853520" w:rsidRPr="00853520" w:rsidTr="0051172D">
        <w:tc>
          <w:tcPr>
            <w:tcW w:w="8787" w:type="dxa"/>
            <w:gridSpan w:val="3"/>
            <w:tcBorders>
              <w:top w:val="single" w:sz="4" w:space="0" w:color="auto"/>
              <w:left w:val="nil"/>
              <w:bottom w:val="single" w:sz="4" w:space="0" w:color="auto"/>
              <w:right w:val="nil"/>
            </w:tcBorders>
          </w:tcPr>
          <w:p w:rsidR="00853520" w:rsidRPr="00853520" w:rsidRDefault="00853520" w:rsidP="00853520">
            <w:pPr>
              <w:spacing w:before="60" w:after="60"/>
              <w:rPr>
                <w:rFonts w:ascii="Arial" w:hAnsi="Arial" w:cs="Arial"/>
                <w:sz w:val="10"/>
                <w:szCs w:val="10"/>
              </w:rPr>
            </w:pPr>
          </w:p>
        </w:tc>
      </w:tr>
      <w:tr w:rsidR="00853520" w:rsidRPr="00853520" w:rsidTr="0051172D">
        <w:tc>
          <w:tcPr>
            <w:tcW w:w="8787" w:type="dxa"/>
            <w:gridSpan w:val="3"/>
            <w:tcBorders>
              <w:top w:val="single" w:sz="4" w:space="0" w:color="auto"/>
              <w:bottom w:val="single" w:sz="4" w:space="0" w:color="auto"/>
            </w:tcBorders>
            <w:shd w:val="clear" w:color="auto" w:fill="E5B8B7" w:themeFill="accent2" w:themeFillTint="66"/>
          </w:tcPr>
          <w:p w:rsidR="00853520" w:rsidRPr="00853520" w:rsidRDefault="00853520" w:rsidP="00853520">
            <w:pPr>
              <w:spacing w:before="60" w:after="60"/>
              <w:jc w:val="center"/>
              <w:rPr>
                <w:rFonts w:ascii="Arial" w:hAnsi="Arial" w:cs="Arial"/>
                <w:b/>
                <w:noProof/>
              </w:rPr>
            </w:pPr>
            <w:r w:rsidRPr="00853520">
              <w:rPr>
                <w:rFonts w:ascii="Arial" w:hAnsi="Arial" w:cs="Arial"/>
                <w:b/>
                <w:noProof/>
              </w:rPr>
              <w:t>Équipement/matériel</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Équipement défectueux</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Usé, craquelé, brisé, glissant, mal conçu, mal construit.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Équipement absent</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Matériel de travail absent.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Levier au sol, sur rail</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Lève-personne utilisé lors du déplacement de clients.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Équipement mal utilisé</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Exemple : se tenir sur la dernière marche d’un escabeau.</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ÉPI défectueux/inadéquat</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Exemple : utiliser un appareil de protection respiratoire avec des cartouches chimiques.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Matière dangereuse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Matière correspondant aux définitions des matières dangereuses citées aux articles 3 et 4 du Règlement sur les matières dangereuses (L.R.Q., c. Q-2).</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Objet lourd</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Objet nécessitant un effort important pour être soulevé ou déplacé. Veuillez vous référer aux normes ISO 11228</w:t>
            </w:r>
            <w:r w:rsidRPr="00853520">
              <w:rPr>
                <w:rFonts w:ascii="Arial" w:hAnsi="Arial" w:cs="Arial"/>
                <w:noProof/>
                <w:sz w:val="20"/>
                <w:szCs w:val="20"/>
              </w:rPr>
              <w:noBreakHyphen/>
              <w:t>1, ISO 11228</w:t>
            </w:r>
            <w:r w:rsidRPr="00853520">
              <w:rPr>
                <w:rFonts w:ascii="Arial" w:hAnsi="Arial" w:cs="Arial"/>
                <w:noProof/>
                <w:sz w:val="20"/>
                <w:szCs w:val="20"/>
              </w:rPr>
              <w:noBreakHyphen/>
              <w:t>2 et AFNOR NF X35</w:t>
            </w:r>
            <w:r w:rsidRPr="00853520">
              <w:rPr>
                <w:rFonts w:ascii="Arial" w:hAnsi="Arial" w:cs="Arial"/>
                <w:noProof/>
                <w:sz w:val="20"/>
                <w:szCs w:val="20"/>
              </w:rPr>
              <w:noBreakHyphen/>
              <w:t>109.</w:t>
            </w:r>
          </w:p>
        </w:tc>
      </w:tr>
    </w:tbl>
    <w:p w:rsidR="00853520" w:rsidRPr="00853520" w:rsidRDefault="00853520" w:rsidP="00853520">
      <w:pPr>
        <w:tabs>
          <w:tab w:val="left" w:pos="5670"/>
        </w:tabs>
        <w:suppressAutoHyphens/>
        <w:spacing w:after="0" w:line="240" w:lineRule="auto"/>
        <w:rPr>
          <w:rFonts w:ascii="Verdana" w:eastAsia="Times New Roman" w:hAnsi="Verdana" w:cs="Arial"/>
          <w:sz w:val="10"/>
          <w:szCs w:val="10"/>
          <w:lang w:eastAsia="fr-FR"/>
        </w:rPr>
      </w:pPr>
      <w:r w:rsidRPr="00853520">
        <w:rPr>
          <w:rFonts w:ascii="Verdana" w:eastAsia="Times New Roman" w:hAnsi="Verdana" w:cs="Arial"/>
          <w:sz w:val="10"/>
          <w:szCs w:val="10"/>
          <w:lang w:eastAsia="fr-FR"/>
        </w:rP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25"/>
        <w:gridCol w:w="2693"/>
        <w:gridCol w:w="5669"/>
      </w:tblGrid>
      <w:tr w:rsidR="00853520" w:rsidRPr="00853520" w:rsidTr="0051172D">
        <w:tc>
          <w:tcPr>
            <w:tcW w:w="8787" w:type="dxa"/>
            <w:gridSpan w:val="3"/>
            <w:tcBorders>
              <w:top w:val="single" w:sz="4" w:space="0" w:color="auto"/>
              <w:bottom w:val="single" w:sz="4" w:space="0" w:color="auto"/>
            </w:tcBorders>
            <w:shd w:val="clear" w:color="auto" w:fill="D6E3BC" w:themeFill="accent3" w:themeFillTint="66"/>
          </w:tcPr>
          <w:p w:rsidR="00853520" w:rsidRPr="00853520" w:rsidRDefault="00853520" w:rsidP="00853520">
            <w:pPr>
              <w:spacing w:before="60" w:after="60"/>
              <w:jc w:val="center"/>
              <w:rPr>
                <w:rFonts w:ascii="Arial" w:hAnsi="Arial" w:cs="Arial"/>
                <w:b/>
                <w:noProof/>
                <w:sz w:val="24"/>
              </w:rPr>
            </w:pPr>
            <w:r w:rsidRPr="00853520">
              <w:rPr>
                <w:rFonts w:ascii="Arial" w:hAnsi="Arial" w:cs="Arial"/>
                <w:b/>
                <w:noProof/>
              </w:rPr>
              <w:lastRenderedPageBreak/>
              <w:t>Client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Geste imprévisible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client effectue un geste inattendu. Ex. : retenir la ridelle lors d’un déplacement.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Agressif</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client est agressif de façon physique ou verbale.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Non collaborateur</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client ne collabore pas lors des activités de soins.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Confus</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client est confus.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Douleur présente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La présence de douleur chez le client peut rendre pénibles certaines activités de soins.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Agité</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client remue en tous sens.</w:t>
            </w:r>
          </w:p>
        </w:tc>
      </w:tr>
      <w:tr w:rsidR="00853520" w:rsidRPr="00853520" w:rsidTr="0051172D">
        <w:tc>
          <w:tcPr>
            <w:tcW w:w="8787" w:type="dxa"/>
            <w:gridSpan w:val="3"/>
            <w:tcBorders>
              <w:top w:val="single" w:sz="4" w:space="0" w:color="auto"/>
              <w:left w:val="nil"/>
              <w:bottom w:val="single" w:sz="4" w:space="0" w:color="auto"/>
              <w:right w:val="nil"/>
            </w:tcBorders>
          </w:tcPr>
          <w:p w:rsidR="00853520" w:rsidRPr="00853520" w:rsidRDefault="00853520" w:rsidP="00853520">
            <w:pPr>
              <w:spacing w:before="60" w:after="60"/>
              <w:rPr>
                <w:rFonts w:ascii="Arial" w:hAnsi="Arial" w:cs="Arial"/>
                <w:b/>
                <w:noProof/>
                <w:sz w:val="10"/>
                <w:szCs w:val="10"/>
              </w:rPr>
            </w:pPr>
          </w:p>
        </w:tc>
      </w:tr>
      <w:tr w:rsidR="00853520" w:rsidRPr="00853520" w:rsidTr="0051172D">
        <w:tc>
          <w:tcPr>
            <w:tcW w:w="8787" w:type="dxa"/>
            <w:gridSpan w:val="3"/>
            <w:tcBorders>
              <w:top w:val="single" w:sz="4" w:space="0" w:color="auto"/>
              <w:bottom w:val="single" w:sz="4" w:space="0" w:color="auto"/>
            </w:tcBorders>
            <w:shd w:val="clear" w:color="auto" w:fill="CCC0D9" w:themeFill="accent4" w:themeFillTint="66"/>
          </w:tcPr>
          <w:p w:rsidR="00853520" w:rsidRPr="00853520" w:rsidRDefault="00853520" w:rsidP="00853520">
            <w:pPr>
              <w:spacing w:before="60" w:after="60"/>
              <w:jc w:val="center"/>
              <w:rPr>
                <w:rFonts w:ascii="Arial" w:hAnsi="Arial" w:cs="Arial"/>
                <w:b/>
                <w:noProof/>
                <w:sz w:val="24"/>
              </w:rPr>
            </w:pPr>
            <w:r w:rsidRPr="00853520">
              <w:rPr>
                <w:rFonts w:ascii="Arial" w:hAnsi="Arial" w:cs="Arial"/>
                <w:b/>
                <w:noProof/>
              </w:rPr>
              <w:t>Environnement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Encombrement</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travail du personnel est gêné par la présence de meubles et d’objets divers.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Entreposage inadéquat</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Entreposage inadéquat de matières dangereuses.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Éclairage inadéquat</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niveau d’éclairement est inférieur aux valeurs recommandées (voir annexe 1).</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Surface glissante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Ex. : plancher glissant.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Sol inégal</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 sol présente des inégalités.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Ambiance thermique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Les ambiances thermiques, chaudes ou froides, peuvent être source de problèmes pour les travailleurs.</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Ventilation inadéquate</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La ventilation générale des locaux n’est pas adéquate (ex. : présence de courant d’air). La captation de contaminants émis lors de procédé tel que le soudage n’est pas efficace.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Espace restreint</w:t>
            </w:r>
          </w:p>
        </w:tc>
        <w:tc>
          <w:tcPr>
            <w:tcW w:w="5669" w:type="dxa"/>
            <w:tcBorders>
              <w:top w:val="single" w:sz="4" w:space="0" w:color="auto"/>
              <w:left w:val="dotted" w:sz="4" w:space="0" w:color="auto"/>
              <w:bottom w:val="single" w:sz="4" w:space="0" w:color="auto"/>
            </w:tcBorders>
          </w:tcPr>
          <w:p w:rsidR="00853520" w:rsidRPr="00853520" w:rsidRDefault="00853520" w:rsidP="00853520">
            <w:pPr>
              <w:keepNext/>
              <w:spacing w:before="60" w:after="60"/>
              <w:rPr>
                <w:rFonts w:ascii="Arial" w:hAnsi="Arial" w:cs="Arial"/>
                <w:noProof/>
                <w:sz w:val="20"/>
                <w:szCs w:val="20"/>
              </w:rPr>
            </w:pPr>
            <w:r w:rsidRPr="00853520">
              <w:rPr>
                <w:rFonts w:ascii="Arial" w:hAnsi="Arial" w:cs="Arial"/>
                <w:noProof/>
                <w:sz w:val="20"/>
                <w:szCs w:val="20"/>
              </w:rPr>
              <w:t>Ex. : le cadrage de porte n’est pas assez large pour permettre le passage d’un « lift ».</w:t>
            </w:r>
          </w:p>
        </w:tc>
      </w:tr>
      <w:tr w:rsidR="00853520" w:rsidRPr="00853520" w:rsidTr="0051172D">
        <w:trPr>
          <w:trHeight w:val="113"/>
        </w:trPr>
        <w:tc>
          <w:tcPr>
            <w:tcW w:w="8787" w:type="dxa"/>
            <w:gridSpan w:val="3"/>
            <w:tcBorders>
              <w:top w:val="single" w:sz="4" w:space="0" w:color="auto"/>
              <w:left w:val="nil"/>
              <w:bottom w:val="single" w:sz="4" w:space="0" w:color="auto"/>
              <w:right w:val="nil"/>
            </w:tcBorders>
          </w:tcPr>
          <w:p w:rsidR="00853520" w:rsidRPr="00853520" w:rsidRDefault="00853520" w:rsidP="00853520">
            <w:pPr>
              <w:spacing w:before="60" w:after="60"/>
              <w:rPr>
                <w:rFonts w:ascii="Arial" w:hAnsi="Arial" w:cs="Arial"/>
                <w:b/>
                <w:noProof/>
                <w:sz w:val="10"/>
                <w:szCs w:val="10"/>
              </w:rPr>
            </w:pPr>
          </w:p>
        </w:tc>
      </w:tr>
      <w:tr w:rsidR="00853520" w:rsidRPr="00853520" w:rsidTr="0051172D">
        <w:tc>
          <w:tcPr>
            <w:tcW w:w="8787" w:type="dxa"/>
            <w:gridSpan w:val="3"/>
            <w:tcBorders>
              <w:top w:val="single" w:sz="4" w:space="0" w:color="auto"/>
              <w:bottom w:val="single" w:sz="4" w:space="0" w:color="auto"/>
            </w:tcBorders>
            <w:shd w:val="clear" w:color="auto" w:fill="8DB3E2" w:themeFill="text2" w:themeFillTint="66"/>
          </w:tcPr>
          <w:p w:rsidR="00853520" w:rsidRPr="00853520" w:rsidRDefault="00853520" w:rsidP="00853520">
            <w:pPr>
              <w:spacing w:before="60" w:after="60"/>
              <w:jc w:val="center"/>
              <w:rPr>
                <w:rFonts w:ascii="Arial" w:hAnsi="Arial" w:cs="Arial"/>
                <w:b/>
                <w:noProof/>
              </w:rPr>
            </w:pPr>
            <w:r w:rsidRPr="00853520">
              <w:rPr>
                <w:rFonts w:ascii="Arial" w:hAnsi="Arial" w:cs="Arial"/>
                <w:b/>
                <w:noProof/>
              </w:rPr>
              <w:t>Organisation</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Communication déficiente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Ex. : le transfert d’information lors de changement de quart de travail n’est pas fait correctement.</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Entretien préventif inadéquat</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Le programme d’entretien préventif ne permet pas d’atténuer les risques associés à une pièce d’équipement ou de machinerie.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Formation/entraînement à revoir</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L’employé travaille dans des conditions non sécuritaires en raison d’un manque de compétences techniques ou de formation.</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Procédure de travail inadéquate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L’employé travaille dans des conditions non sécuritaires en raison d’un manque de directives de sécurité pour l’exécution d’une tâche particulière.</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Mauvaise planification du travail</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L’exécution de certaines tâches peut nuire à d’autres (ex. : travaux de maintenance bruyants qui peuvent être une source de dérangement pour certaines activités de soin).</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Achat d’équipement non approprié</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Les équipements et les outils disponibles ne sont pas appropriés pour les tâches à exécuter.</w:t>
            </w:r>
          </w:p>
        </w:tc>
      </w:tr>
      <w:tr w:rsidR="00853520" w:rsidRPr="00853520" w:rsidTr="0051172D">
        <w:tc>
          <w:tcPr>
            <w:tcW w:w="425" w:type="dxa"/>
            <w:tcBorders>
              <w:top w:val="single"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sym w:font="Wingdings" w:char="F0A8"/>
            </w:r>
          </w:p>
        </w:tc>
        <w:tc>
          <w:tcPr>
            <w:tcW w:w="2693" w:type="dxa"/>
            <w:tcBorders>
              <w:top w:val="single" w:sz="4" w:space="0" w:color="auto"/>
              <w:bottom w:val="single" w:sz="4" w:space="0" w:color="auto"/>
              <w:right w:val="dotted"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Mauvaise conception d’équipement/poste</w:t>
            </w:r>
          </w:p>
        </w:tc>
        <w:tc>
          <w:tcPr>
            <w:tcW w:w="5669" w:type="dxa"/>
            <w:tcBorders>
              <w:top w:val="single" w:sz="4" w:space="0" w:color="auto"/>
              <w:left w:val="dotted" w:sz="4" w:space="0" w:color="auto"/>
              <w:bottom w:val="single" w:sz="4" w:space="0" w:color="auto"/>
            </w:tcBorders>
          </w:tcPr>
          <w:p w:rsidR="00853520" w:rsidRPr="00853520" w:rsidRDefault="00853520" w:rsidP="00853520">
            <w:pPr>
              <w:spacing w:before="60" w:after="60"/>
              <w:rPr>
                <w:rFonts w:ascii="Arial" w:hAnsi="Arial" w:cs="Arial"/>
                <w:sz w:val="20"/>
                <w:szCs w:val="20"/>
              </w:rPr>
            </w:pPr>
            <w:r w:rsidRPr="00853520">
              <w:rPr>
                <w:rFonts w:ascii="Arial" w:hAnsi="Arial" w:cs="Arial"/>
                <w:sz w:val="20"/>
                <w:szCs w:val="20"/>
              </w:rPr>
              <w:t>Ex. : la hauteur des surfaces de travail est inadéquate.</w:t>
            </w:r>
          </w:p>
        </w:tc>
      </w:tr>
    </w:tbl>
    <w:p w:rsidR="00853520" w:rsidRPr="00853520" w:rsidRDefault="00853520" w:rsidP="00853520">
      <w:pPr>
        <w:tabs>
          <w:tab w:val="left" w:pos="5670"/>
        </w:tabs>
        <w:suppressAutoHyphens/>
        <w:spacing w:after="0" w:line="240" w:lineRule="auto"/>
        <w:rPr>
          <w:rFonts w:ascii="Tahoma" w:eastAsia="Times New Roman" w:hAnsi="Tahoma" w:cs="Arial"/>
          <w:sz w:val="12"/>
          <w:szCs w:val="2"/>
          <w:lang w:eastAsia="fr-FR"/>
        </w:rPr>
      </w:pPr>
    </w:p>
    <w:p w:rsidR="00393554" w:rsidRDefault="00393554"/>
    <w:sectPr w:rsidR="00393554" w:rsidSect="00853520">
      <w:footerReference w:type="even" r:id="rId7"/>
      <w:footerReference w:type="default" r:id="rId8"/>
      <w:headerReference w:type="first" r:id="rId9"/>
      <w:footerReference w:type="first" r:id="rId10"/>
      <w:pgSz w:w="12240" w:h="15840" w:code="1"/>
      <w:pgMar w:top="851" w:right="1797" w:bottom="851" w:left="179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20" w:rsidRDefault="00853520" w:rsidP="00853520">
      <w:pPr>
        <w:spacing w:after="0" w:line="240" w:lineRule="auto"/>
      </w:pPr>
      <w:r>
        <w:separator/>
      </w:r>
    </w:p>
  </w:endnote>
  <w:endnote w:type="continuationSeparator" w:id="0">
    <w:p w:rsidR="00853520" w:rsidRDefault="00853520" w:rsidP="0085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DE" w:rsidRPr="00691200" w:rsidRDefault="00853520" w:rsidP="00227CC1">
    <w:pPr>
      <w:pStyle w:val="Pieddepage"/>
      <w:jc w:val="right"/>
      <w:rPr>
        <w:rFonts w:ascii="Arial" w:hAnsi="Arial" w:cs="Arial"/>
        <w:sz w:val="20"/>
      </w:rPr>
    </w:pPr>
    <w:r w:rsidRPr="00691200">
      <w:rPr>
        <w:rFonts w:ascii="Arial" w:hAnsi="Arial" w:cs="Arial"/>
        <w:sz w:val="20"/>
      </w:rPr>
      <w:fldChar w:fldCharType="begin"/>
    </w:r>
    <w:r w:rsidRPr="00691200">
      <w:rPr>
        <w:rFonts w:ascii="Arial" w:hAnsi="Arial" w:cs="Arial"/>
        <w:sz w:val="20"/>
      </w:rPr>
      <w:instrText>PAGE   \* MERGEFORMAT</w:instrText>
    </w:r>
    <w:r w:rsidRPr="00691200">
      <w:rPr>
        <w:rFonts w:ascii="Arial" w:hAnsi="Arial" w:cs="Arial"/>
        <w:sz w:val="20"/>
      </w:rPr>
      <w:fldChar w:fldCharType="separate"/>
    </w:r>
    <w:r w:rsidRPr="000B588E">
      <w:rPr>
        <w:rFonts w:ascii="Arial" w:hAnsi="Arial" w:cs="Arial"/>
        <w:noProof/>
        <w:sz w:val="20"/>
        <w:lang w:val="fr-FR"/>
      </w:rPr>
      <w:t>80</w:t>
    </w:r>
    <w:r w:rsidRPr="00691200">
      <w:rPr>
        <w:rFonts w:ascii="Arial" w:hAnsi="Arial" w:cs="Arial"/>
        <w:sz w:val="20"/>
      </w:rPr>
      <w:fldChar w:fldCharType="end"/>
    </w:r>
    <w:r w:rsidRPr="00691200">
      <w:rPr>
        <w:rFonts w:ascii="Arial" w:hAnsi="Arial" w:cs="Arial"/>
        <w:sz w:val="20"/>
      </w:rPr>
      <w:tab/>
      <w:t>ASSTSAS </w:t>
    </w:r>
    <w:r w:rsidRPr="00691200">
      <w:rPr>
        <w:rFonts w:ascii="Arial" w:hAnsi="Arial" w:cs="Arial"/>
        <w:sz w:val="20"/>
      </w:rPr>
      <w:noBreakHyphen/>
      <w:t> EAEA</w:t>
    </w:r>
    <w:r w:rsidRPr="00691200">
      <w:rPr>
        <w:rFonts w:ascii="Arial" w:hAnsi="Arial" w:cs="Arial"/>
        <w:sz w:val="20"/>
      </w:rPr>
      <w:tab/>
      <w:t>Annexe 3 : définitions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DE" w:rsidRPr="00442B42" w:rsidRDefault="00853520" w:rsidP="00AA1CCF">
    <w:pPr>
      <w:pStyle w:val="Pieddepage"/>
      <w:tabs>
        <w:tab w:val="clear" w:pos="4320"/>
        <w:tab w:val="clear" w:pos="8640"/>
        <w:tab w:val="left" w:pos="709"/>
        <w:tab w:val="center" w:pos="4321"/>
        <w:tab w:val="right" w:pos="8647"/>
      </w:tabs>
      <w:rPr>
        <w:rFonts w:ascii="Arial" w:hAnsi="Arial" w:cs="Arial"/>
        <w:sz w:val="20"/>
      </w:rPr>
    </w:pPr>
    <w:r w:rsidRPr="00442B42">
      <w:rPr>
        <w:rFonts w:ascii="Arial" w:hAnsi="Arial" w:cs="Arial"/>
        <w:sz w:val="20"/>
      </w:rPr>
      <w:t>Annexe 3 :</w:t>
    </w:r>
    <w:r w:rsidRPr="00442B42">
      <w:rPr>
        <w:rFonts w:ascii="Arial" w:hAnsi="Arial" w:cs="Arial"/>
        <w:sz w:val="20"/>
      </w:rPr>
      <w:t xml:space="preserve"> définitions</w:t>
    </w:r>
    <w:r w:rsidRPr="00442B42">
      <w:rPr>
        <w:rFonts w:ascii="Arial" w:hAnsi="Arial" w:cs="Arial"/>
        <w:sz w:val="20"/>
      </w:rPr>
      <w:tab/>
      <w:t>ASSTSAS </w:t>
    </w:r>
    <w:r w:rsidRPr="00442B42">
      <w:rPr>
        <w:rFonts w:ascii="Arial" w:hAnsi="Arial" w:cs="Arial"/>
        <w:sz w:val="20"/>
      </w:rPr>
      <w:noBreakHyphen/>
      <w:t> EAEA</w:t>
    </w:r>
    <w:r w:rsidRPr="00442B42">
      <w:rPr>
        <w:rFonts w:ascii="Arial" w:hAnsi="Arial" w:cs="Arial"/>
        <w:sz w:val="20"/>
      </w:rPr>
      <w:tab/>
    </w:r>
    <w:r w:rsidRPr="00442B42">
      <w:rPr>
        <w:rFonts w:ascii="Arial" w:hAnsi="Arial" w:cs="Arial"/>
        <w:sz w:val="20"/>
      </w:rPr>
      <w:fldChar w:fldCharType="begin"/>
    </w:r>
    <w:r w:rsidRPr="00442B42">
      <w:rPr>
        <w:rFonts w:ascii="Arial" w:hAnsi="Arial" w:cs="Arial"/>
        <w:sz w:val="20"/>
      </w:rPr>
      <w:instrText>PAGE   \* MERGEFORMAT</w:instrText>
    </w:r>
    <w:r w:rsidRPr="00442B42">
      <w:rPr>
        <w:rFonts w:ascii="Arial" w:hAnsi="Arial" w:cs="Arial"/>
        <w:sz w:val="20"/>
      </w:rPr>
      <w:fldChar w:fldCharType="separate"/>
    </w:r>
    <w:r w:rsidRPr="00853520">
      <w:rPr>
        <w:rFonts w:ascii="Arial" w:hAnsi="Arial" w:cs="Arial"/>
        <w:noProof/>
        <w:sz w:val="20"/>
        <w:lang w:val="fr-FR"/>
      </w:rPr>
      <w:t>2</w:t>
    </w:r>
    <w:r w:rsidRPr="00442B42">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DE" w:rsidRPr="00442B42" w:rsidRDefault="00853520" w:rsidP="00AA1CCF">
    <w:pPr>
      <w:pStyle w:val="Pieddepage"/>
      <w:tabs>
        <w:tab w:val="clear" w:pos="4320"/>
        <w:tab w:val="clear" w:pos="8640"/>
        <w:tab w:val="left" w:pos="0"/>
        <w:tab w:val="center" w:pos="4321"/>
        <w:tab w:val="right" w:pos="8647"/>
      </w:tabs>
      <w:rPr>
        <w:rFonts w:ascii="Arial" w:hAnsi="Arial" w:cs="Arial"/>
        <w:sz w:val="20"/>
      </w:rPr>
    </w:pPr>
    <w:r w:rsidRPr="00442B42">
      <w:rPr>
        <w:rFonts w:ascii="Arial" w:hAnsi="Arial" w:cs="Arial"/>
        <w:sz w:val="20"/>
      </w:rPr>
      <w:fldChar w:fldCharType="begin"/>
    </w:r>
    <w:r w:rsidRPr="00442B42">
      <w:rPr>
        <w:rFonts w:ascii="Arial" w:hAnsi="Arial" w:cs="Arial"/>
        <w:sz w:val="20"/>
      </w:rPr>
      <w:instrText>PAGE   \* MERGEFORMAT</w:instrText>
    </w:r>
    <w:r w:rsidRPr="00442B42">
      <w:rPr>
        <w:rFonts w:ascii="Arial" w:hAnsi="Arial" w:cs="Arial"/>
        <w:sz w:val="20"/>
      </w:rPr>
      <w:fldChar w:fldCharType="separate"/>
    </w:r>
    <w:r w:rsidRPr="00853520">
      <w:rPr>
        <w:rFonts w:ascii="Arial" w:hAnsi="Arial" w:cs="Arial"/>
        <w:noProof/>
        <w:sz w:val="20"/>
        <w:lang w:val="fr-FR"/>
      </w:rPr>
      <w:t>1</w:t>
    </w:r>
    <w:r w:rsidRPr="00442B42">
      <w:rPr>
        <w:rFonts w:ascii="Arial" w:hAnsi="Arial" w:cs="Arial"/>
        <w:sz w:val="20"/>
      </w:rPr>
      <w:fldChar w:fldCharType="end"/>
    </w:r>
    <w:r w:rsidRPr="00442B42">
      <w:rPr>
        <w:rFonts w:ascii="Arial" w:hAnsi="Arial" w:cs="Arial"/>
        <w:sz w:val="20"/>
      </w:rPr>
      <w:tab/>
      <w:t>ASSTSAS </w:t>
    </w:r>
    <w:r w:rsidRPr="00442B42">
      <w:rPr>
        <w:rFonts w:ascii="Arial" w:hAnsi="Arial" w:cs="Arial"/>
        <w:sz w:val="20"/>
      </w:rPr>
      <w:noBreakHyphen/>
      <w:t> EAEA</w:t>
    </w:r>
    <w:r w:rsidRPr="00442B42">
      <w:rPr>
        <w:rFonts w:ascii="Arial" w:hAnsi="Arial" w:cs="Arial"/>
        <w:sz w:val="20"/>
      </w:rPr>
      <w:tab/>
      <w:t>Annexe 3 : définitions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20" w:rsidRDefault="00853520" w:rsidP="00853520">
      <w:pPr>
        <w:spacing w:after="0" w:line="240" w:lineRule="auto"/>
      </w:pPr>
      <w:r>
        <w:separator/>
      </w:r>
    </w:p>
  </w:footnote>
  <w:footnote w:type="continuationSeparator" w:id="0">
    <w:p w:rsidR="00853520" w:rsidRDefault="00853520" w:rsidP="00853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20" w:rsidRDefault="00853520" w:rsidP="00853520">
    <w:pPr>
      <w:pStyle w:val="En-tte"/>
      <w:jc w:val="center"/>
    </w:pPr>
    <w:r>
      <w:rPr>
        <w:b/>
        <w:smallCaps/>
        <w:noProof/>
        <w:sz w:val="28"/>
        <w:lang w:eastAsia="fr-CA"/>
      </w:rPr>
      <w:drawing>
        <wp:inline distT="0" distB="0" distL="0" distR="0" wp14:anchorId="1ACD8AA7" wp14:editId="5A4CEB6E">
          <wp:extent cx="2157730" cy="6838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logo_1_lig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730" cy="683895"/>
                  </a:xfrm>
                  <a:prstGeom prst="rect">
                    <a:avLst/>
                  </a:prstGeom>
                </pic:spPr>
              </pic:pic>
            </a:graphicData>
          </a:graphic>
        </wp:inline>
      </w:drawing>
    </w:r>
  </w:p>
  <w:p w:rsidR="00853520" w:rsidRDefault="00853520" w:rsidP="00853520">
    <w:pPr>
      <w:pStyle w:val="En-tte"/>
      <w:spacing w:before="120" w:after="120"/>
      <w:jc w:val="center"/>
    </w:pPr>
    <w:r>
      <w:rPr>
        <w:rFonts w:ascii="Arial" w:hAnsi="Arial" w:cs="Arial"/>
        <w:b/>
        <w:smallCaps/>
        <w:sz w:val="28"/>
        <w:szCs w:val="20"/>
      </w:rPr>
      <w:t>Codage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0"/>
    <w:rsid w:val="00393554"/>
    <w:rsid w:val="008535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5352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53520"/>
  </w:style>
  <w:style w:type="table" w:styleId="Grilledutableau">
    <w:name w:val="Table Grid"/>
    <w:basedOn w:val="TableauNormal"/>
    <w:uiPriority w:val="59"/>
    <w:rsid w:val="00853520"/>
    <w:pPr>
      <w:spacing w:after="0" w:line="240" w:lineRule="auto"/>
    </w:pPr>
    <w:rPr>
      <w:rFonts w:eastAsia="Times New Roman"/>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53520"/>
    <w:pPr>
      <w:tabs>
        <w:tab w:val="center" w:pos="4320"/>
        <w:tab w:val="right" w:pos="8640"/>
      </w:tabs>
      <w:spacing w:after="0" w:line="240" w:lineRule="auto"/>
    </w:pPr>
  </w:style>
  <w:style w:type="character" w:customStyle="1" w:styleId="En-tteCar">
    <w:name w:val="En-tête Car"/>
    <w:basedOn w:val="Policepardfaut"/>
    <w:link w:val="En-tte"/>
    <w:uiPriority w:val="99"/>
    <w:rsid w:val="00853520"/>
  </w:style>
  <w:style w:type="paragraph" w:styleId="Textedebulles">
    <w:name w:val="Balloon Text"/>
    <w:basedOn w:val="Normal"/>
    <w:link w:val="TextedebullesCar"/>
    <w:uiPriority w:val="99"/>
    <w:semiHidden/>
    <w:unhideWhenUsed/>
    <w:rsid w:val="00853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5352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53520"/>
  </w:style>
  <w:style w:type="table" w:styleId="Grilledutableau">
    <w:name w:val="Table Grid"/>
    <w:basedOn w:val="TableauNormal"/>
    <w:uiPriority w:val="59"/>
    <w:rsid w:val="00853520"/>
    <w:pPr>
      <w:spacing w:after="0" w:line="240" w:lineRule="auto"/>
    </w:pPr>
    <w:rPr>
      <w:rFonts w:eastAsia="Times New Roman"/>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53520"/>
    <w:pPr>
      <w:tabs>
        <w:tab w:val="center" w:pos="4320"/>
        <w:tab w:val="right" w:pos="8640"/>
      </w:tabs>
      <w:spacing w:after="0" w:line="240" w:lineRule="auto"/>
    </w:pPr>
  </w:style>
  <w:style w:type="character" w:customStyle="1" w:styleId="En-tteCar">
    <w:name w:val="En-tête Car"/>
    <w:basedOn w:val="Policepardfaut"/>
    <w:link w:val="En-tte"/>
    <w:uiPriority w:val="99"/>
    <w:rsid w:val="00853520"/>
  </w:style>
  <w:style w:type="paragraph" w:styleId="Textedebulles">
    <w:name w:val="Balloon Text"/>
    <w:basedOn w:val="Normal"/>
    <w:link w:val="TextedebullesCar"/>
    <w:uiPriority w:val="99"/>
    <w:semiHidden/>
    <w:unhideWhenUsed/>
    <w:rsid w:val="00853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1116</Words>
  <Characters>6142</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Caron</dc:creator>
  <cp:lastModifiedBy>Laurence Caron</cp:lastModifiedBy>
  <cp:revision>1</cp:revision>
  <dcterms:created xsi:type="dcterms:W3CDTF">2014-01-13T14:41:00Z</dcterms:created>
  <dcterms:modified xsi:type="dcterms:W3CDTF">2014-01-13T14:47:00Z</dcterms:modified>
</cp:coreProperties>
</file>